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Iraq,</w:t>
      </w:r>
      <w:r>
        <w:t xml:space="preserve"> </w:t>
      </w:r>
      <w:r>
        <w:t xml:space="preserve">Baghdad</w:t>
      </w:r>
    </w:p>
    <w:bookmarkStart w:id="25" w:name="X2cb381be1e54bc3e82b0048b868497e2ee5d486"/>
    <w:p>
      <w:pPr>
        <w:pStyle w:val="Heading1"/>
      </w:pPr>
      <w:r>
        <w:t xml:space="preserve">The Steward of Stability: A Reflection on the Role of the Banker in Iraq, Baghdad</w:t>
      </w:r>
    </w:p>
    <w:p>
      <w:pPr>
        <w:pStyle w:val="FirstParagraph"/>
      </w:pPr>
      <w:r>
        <w:t xml:space="preserve">To reflect upon the figure of the banker within the specific context of Iraq, and more specifically its capital city, Baghdad, is to engage with a narrative that is as complex as it is critical. In many global contexts, banking is viewed merely through the lens of transactional efficiency or wealth management. However, in Baghdad—a city that has endured decades of geopolitical turmoil, sanctions reconstruction efforts and the gradual re-emergence of economic sovereignty—the banker assumes a role far heavier than mere financial intermediary. The banker here is not just an administrator of capital but a crucial architect of stability, a bridge between past trauma and future prosperity. This reflection paper seeks to dissect the multifaceted responsibilities, ethical challenges, and profound societal impact of the banker operating in this vibrant yet fragile metropolis.</w:t>
      </w:r>
    </w:p>
    <w:bookmarkStart w:id="20" w:name="X5caba32783a19a31a8b3070dec002f100ebcbbd"/>
    <w:p>
      <w:pPr>
        <w:pStyle w:val="Heading2"/>
      </w:pPr>
      <w:r>
        <w:t xml:space="preserve">The Historical Weight on Financial Shoulders</w:t>
      </w:r>
    </w:p>
    <w:p>
      <w:pPr>
        <w:pStyle w:val="FirstParagraph"/>
      </w:pPr>
      <w:r>
        <w:t xml:space="preserve">One cannot discuss banking in Baghdad without acknowledging the historical scars that define its economic landscape. The city has seen hyperinflation, the collapse of currency value, and a complete severing from global financial networks during periods of intense isolation. Consequently, the modern banker in Baghdad operates under a cloud of historical skepticism. Trust is not given; it must be earned through consistent transparency and reliability. For the local banker, this means that their primary duty extends beyond balancing ledgers to rebuilding institutional trust among a population that has been burned by broken financial promises in the past. The reflection here is poignant: every interaction with a client in Baghdad carries the weight of historical memory. The banker serves as a stabilizing force, assuring citizens and businesses alike that their assets are secure within a system that is slowly finding its footing again.</w:t>
      </w:r>
    </w:p>
    <w:bookmarkEnd w:id="20"/>
    <w:bookmarkStart w:id="21" w:name="Xe1d71e8fc678e3241d44c630e4e6924569dfe3f"/>
    <w:p>
      <w:pPr>
        <w:pStyle w:val="Heading2"/>
      </w:pPr>
      <w:r>
        <w:t xml:space="preserve">The Dual Mandate: Regulatory Compliance vs. Local Economic Reality</w:t>
      </w:r>
    </w:p>
    <w:p>
      <w:pPr>
        <w:pStyle w:val="FirstParagraph"/>
      </w:pPr>
      <w:r>
        <w:t xml:space="preserve">In recent years, the banking sector in Iraq has undergone significant modernization, driven by directives from the Central Bank of Iraq (CBI). The banker in Baghdad is thus caught between two demanding worlds. On one hand, they are required to adhere to stringent international standards regarding anti-money laundering (AML), counter-terrorist financing (CTF), and know-your-customer (KYC) protocols. These regulations are essential for reintegrating Iraq into the global financial system. On the other hand, they operate in an environment where informal money transfer systems, such as the Hawala network, have long been a staple of trade due to their speed and cultural familiarity.</w:t>
      </w:r>
    </w:p>
    <w:p>
      <w:pPr>
        <w:pStyle w:val="BodyText"/>
      </w:pPr>
      <w:r>
        <w:t xml:space="preserve">The reflection on this duality reveals a delicate balancing act. The banker must be firm in compliance yet empathetic to local practices. If regulations are applied too rigidly without understanding the socio-economic nuances of Baghdad’s markets, legitimate commerce could be stifled. Conversely, if oversight is too lax, the city risks becoming a hub for illicit financial flows that undermine national security and economic integrity. Therefore, the ideal banker in this context acts as an educator and a facilitator. They must guide local merchants toward formal banking channels by demonstrating how these systems offer greater protection and access to international trade opportunities, effectively translating global compliance into local benefit.</w:t>
      </w:r>
    </w:p>
    <w:bookmarkEnd w:id="21"/>
    <w:bookmarkStart w:id="22" w:name="Xc80b9efcdbebb5a8cf84fe92ba723ff31398a2c"/>
    <w:p>
      <w:pPr>
        <w:pStyle w:val="Heading2"/>
      </w:pPr>
      <w:r>
        <w:t xml:space="preserve">Financing Reconstruction and Private Sector Growth</w:t>
      </w:r>
    </w:p>
    <w:p>
      <w:pPr>
        <w:pStyle w:val="FirstParagraph"/>
      </w:pPr>
      <w:r>
        <w:t xml:space="preserve">Beyond retail banking, the corporate banker in Baghdad plays a pivotal role in the physical and social reconstruction of the city. From infrastructure projects repairing roads damaged by conflict to financing small and medium enterprises (SMEs) that create jobs for a youthful population, bankers are directly influencing the quality of life in Iraq’s capital. This responsibility is immense. A loan approved for a construction firm might result in new homes; a credit line extended to an agricultural exporter might revitalize rural communities surrounding Baghdad.</w:t>
      </w:r>
    </w:p>
    <w:p>
      <w:pPr>
        <w:pStyle w:val="BodyText"/>
      </w:pPr>
      <w:r>
        <w:t xml:space="preserve">Reflecting on this aspect highlights the moral imperative of banking in Iraq. The banker is not dealing with abstract numbers but with human outcomes. When deciding whether to finance a project, the banker must assess not only financial viability but also social impact. There is a growing recognition that sustainable development in Baghdad requires inclusive growth. Thus, the modern Iraqi banker must be innovative, developing financial products tailored to the unique needs of local businesses—products that account for seasonal cash flows, supply chain disruptions due to regional instability, and the digital transformation currently sweeping through urban centers.</w:t>
      </w:r>
    </w:p>
    <w:bookmarkEnd w:id="22"/>
    <w:bookmarkStart w:id="23" w:name="Xd2abe3d94496f38a9533153fed8b14a6083ef81"/>
    <w:p>
      <w:pPr>
        <w:pStyle w:val="Heading2"/>
      </w:pPr>
      <w:r>
        <w:t xml:space="preserve">The Human Element: Empathy in a Post-Conflict Society</w:t>
      </w:r>
    </w:p>
    <w:p>
      <w:pPr>
        <w:pStyle w:val="FirstParagraph"/>
      </w:pPr>
      <w:r>
        <w:t xml:space="preserve">Perhaps the most overlooked aspect of banking in Baghdad is the human element. In a society recovering from conflict, financial institutions are often seen as cold bureaucratic entities. However, effective bankers realize that they are part of the social fabric. They interact with war veterans seeking to start businesses, families trying to send remittances from abroad, and young entrepreneurs eager to launch tech startups in Baghdad’s emerging innovation hubs.</w:t>
      </w:r>
    </w:p>
    <w:p>
      <w:pPr>
        <w:pStyle w:val="BodyText"/>
      </w:pPr>
      <w:r>
        <w:t xml:space="preserve">This requires a level of emotional intelligence and cultural competence that goes beyond financial literacy. The banker must understand the communal nature of Iraqi society, where business is often conducted through relationships rather than contracts alone. Building these relationships takes time and genuine engagement. It requires sitting down with clients, understanding their fears about inflation or political instability, and offering solutions that provide peace of mind alongside profit. This human-centric approach fosters loyalty and strengthens the social contract between the financial sector and the community it serves.</w:t>
      </w:r>
    </w:p>
    <w:bookmarkEnd w:id="23"/>
    <w:bookmarkStart w:id="24" w:name="X81ddf164f8123f9ae579c692b085db6fc355341"/>
    <w:p>
      <w:pPr>
        <w:pStyle w:val="Heading2"/>
      </w:pPr>
      <w:r>
        <w:t xml:space="preserve">Conclusion: The Banker as a Beacon of Hope</w:t>
      </w:r>
    </w:p>
    <w:p>
      <w:pPr>
        <w:pStyle w:val="FirstParagraph"/>
      </w:pPr>
      <w:r>
        <w:t xml:space="preserve">In conclusion, to reflect on the role of the banker in Iraq, specifically within Baghdad, is to recognize a profession that has evolved into a pillar of national resilience. The banker here is not merely a custodian of money but a guardian of economic stability and social progress. They navigate a complex terrain marked by historical challenges, regulatory demands, and urgent needs for development.</w:t>
      </w:r>
    </w:p>
    <w:p>
      <w:pPr>
        <w:pStyle w:val="BodyText"/>
      </w:pPr>
      <w:r>
        <w:t xml:space="preserve">As Iraq continues its journey toward long-term stability and integration with the global economy, the role of the banker will only grow in significance. They must remain adaptable, ethical, and deeply committed to the welfare of Iraqi society. For those who choose to serve as bankers in Baghdad today, it is a profession laden with both challenge and honor. It offers a unique opportunity to contribute directly to rebuilding one of history’s most ancient cities, transforming financial systems into instruments of hope for future generations. The banker in Iraq does not just balance books; they help balance the scales of justice, security, and prosperity for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Bankers in Iraq, Baghdad</dc:title>
  <dc:creator/>
  <dc:language>en</dc:language>
  <cp:keywords/>
  <dcterms:created xsi:type="dcterms:W3CDTF">2026-07-30T06:27:22Z</dcterms:created>
  <dcterms:modified xsi:type="dcterms:W3CDTF">2026-07-30T06:27:22Z</dcterms:modified>
</cp:coreProperties>
</file>

<file path=docProps/custom.xml><?xml version="1.0" encoding="utf-8"?>
<Properties xmlns="http://schemas.openxmlformats.org/officeDocument/2006/custom-properties" xmlns:vt="http://schemas.openxmlformats.org/officeDocument/2006/docPropsVTypes"/>
</file>