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Russia</w:t>
      </w:r>
      <w:r>
        <w:t xml:space="preserve"> </w:t>
      </w:r>
      <w:r>
        <w:t xml:space="preserve">Moscow</w:t>
      </w:r>
    </w:p>
    <w:bookmarkStart w:id="27" w:name="X5b3f1ac056908cc87ecc66de7d55d990b0304ed"/>
    <w:p>
      <w:pPr>
        <w:pStyle w:val="Heading1"/>
      </w:pPr>
      <w:r>
        <w:t xml:space="preserve">Reflection Paper: The Banker in Russia Moscow</w:t>
      </w:r>
    </w:p>
    <w:bookmarkStart w:id="20" w:name="X877dc2355e04b520adab06119796113f98798ea"/>
    <w:p>
      <w:pPr>
        <w:pStyle w:val="Heading2"/>
      </w:pPr>
      <w:r>
        <w:t xml:space="preserve">The Intersection of Tradition and Modernity in the Heart of the Kremlin’s Shadow</w:t>
      </w:r>
    </w:p>
    <w:p>
      <w:pPr>
        <w:pStyle w:val="FirstParagraph"/>
      </w:pPr>
      <w:r>
        <w:t xml:space="preserve">To understand the role of a banker in Russia, specifically within the dynamic and historically charged environment of Moscow, one must first look beyond mere balance sheets, interest rates, or regulatory compliance. The profession cannot be viewed through a purely Western liberal economic lens; rather it must be situated within a unique tapestry where ancient geopolitical traditions collide with aggressive digital modernization. This reflection paper seeks to dissect the multifaceted identity of the Banker in Russia Moscow, exploring how this figure acts not just as a financial intermediary, but as a cultural bridge, a navigator of complex regulations and an agent of national strategy.</w:t>
      </w:r>
    </w:p>
    <w:bookmarkEnd w:id="20"/>
    <w:bookmarkStart w:id="21" w:name="X2d6d8ab8a67cd64654ab9cab5ab7dad64df4de9"/>
    <w:p>
      <w:pPr>
        <w:pStyle w:val="Heading2"/>
      </w:pPr>
      <w:r>
        <w:t xml:space="preserve">The Historical Weight: From Tsarist Banks to State Control</w:t>
      </w:r>
    </w:p>
    <w:p>
      <w:pPr>
        <w:pStyle w:val="FirstParagraph"/>
      </w:pPr>
      <w:r>
        <w:t xml:space="preserve">Moscow is not merely a city; it is the symbolic heart of Russian statehood. For centuries the banks that operated here served either imperial ambitions or revolutionary upheavals. Today, this historical lineage has evolved into a system where finance and state policy are inextricably linked. The Banker in Russia Moscow operates under the constant awareness that their institution is likely tied to one of the few major players that hold significant sway over domestic stability. Unlike bankers in some Western markets who may prioritize shareholder value above all else, our subject must constantly weigh profitability against national interest and social stability. This dual mandate creates a unique psychological and professional burden, requiring a level of political acumen that extends far beyond standard financial literacy.</w:t>
      </w:r>
    </w:p>
    <w:bookmarkEnd w:id="21"/>
    <w:bookmarkStart w:id="22" w:name="the-digital-leap-moscow-as-a-fintech-hub"/>
    <w:p>
      <w:pPr>
        <w:pStyle w:val="Heading2"/>
      </w:pPr>
      <w:r>
        <w:t xml:space="preserve">The Digital Leap: Moscow as a Fintech Hub</w:t>
      </w:r>
    </w:p>
    <w:p>
      <w:pPr>
        <w:pStyle w:val="FirstParagraph"/>
      </w:pPr>
      <w:r>
        <w:t xml:space="preserve">Despite the heavy hand of regulation, Moscow has emerged as one of the most advanced digital banking landscapes in the world. The Banker in Russia Moscow is often at the forefront of this technological revolution. In cities like New York or London, adoption rates are gradual; here they are exponential. Mobile payments, QR codes and biometric authentication have become ubiquitous long before they were mainstream elsewhere due to necessity and rapid infrastructure development.</w:t>
      </w:r>
    </w:p>
    <w:p>
      <w:pPr>
        <w:pStyle w:val="BodyText"/>
      </w:pPr>
      <w:r>
        <w:t xml:space="preserve">This reality demands that our Banker possesses a hybrid skill set: deep understanding of legacy risk management combined with cutting-edge expertise in artificial intelligence, big data analytics and cybersecurity. The modern banker must be able to speak the language of both the old guard who value personal relationships and trust, as well as the young tech-savvy generation who demand seamless user experiences. This duality defines much of their daily interaction: managing risk while driving innovation.</w:t>
      </w:r>
    </w:p>
    <w:bookmarkEnd w:id="22"/>
    <w:bookmarkStart w:id="23" w:name="the-geopolitical-crucible"/>
    <w:p>
      <w:pPr>
        <w:pStyle w:val="Heading2"/>
      </w:pPr>
      <w:r>
        <w:t xml:space="preserve">The Geopolitical Crucible</w:t>
      </w:r>
    </w:p>
    <w:p>
      <w:pPr>
        <w:pStyle w:val="FirstParagraph"/>
      </w:pPr>
      <w:r>
        <w:t xml:space="preserve">No discussion of banking in this region can ignore the geopolitical realities that have intensified in recent years. Sanctions, currency volatility and shifting alliances have transformed the role of the Banker in Russia Moscow into one akin to a diplomat or a strategist. These professionals operate under immense pressure, tasked with keeping their institutions viable amidst external shocks that are often beyond their control.</w:t>
      </w:r>
    </w:p>
    <w:p>
      <w:pPr>
        <w:pStyle w:val="BodyText"/>
      </w:pPr>
      <w:r>
        <w:t xml:space="preserve">This environment cultivates resilience and adaptability. A banker here must anticipate shifts not just in market trends but in international relations. They must navigate complex compliance frameworks that change frequently, requiring a mindset of perpetual crisis management mixed with long-term strategic planning. This creates a high-stress yet intellectually stimulating work environment where failure is not merely financial but potentially systemic.</w:t>
      </w:r>
    </w:p>
    <w:bookmarkEnd w:id="23"/>
    <w:bookmarkStart w:id="24" w:name="Xcd57230fb0c3f221a5adc26c2a2b100f1d36678"/>
    <w:p>
      <w:pPr>
        <w:pStyle w:val="Heading2"/>
      </w:pPr>
      <w:r>
        <w:t xml:space="preserve">Cultural Nuances and Professional Relationships</w:t>
      </w:r>
    </w:p>
    <w:p>
      <w:pPr>
        <w:pStyle w:val="FirstParagraph"/>
      </w:pPr>
      <w:r>
        <w:t xml:space="preserve">Business in Russia remains deeply relational. The concept of "blat" (connections/influence) still holds relevance, though it has evolved into more formalized networking within elite circles. The Banker in Russia Moscow understands that contracts are only part of the equation; trust built over years is the other. Building rapport requires patience, respect for hierarchy and an understanding of unspoken social codes.</w:t>
      </w:r>
    </w:p>
    <w:p>
      <w:pPr>
        <w:pStyle w:val="BodyText"/>
      </w:pPr>
      <w:r>
        <w:t xml:space="preserve">This cultural aspect means that leadership styles must be adapted accordingly. While Western management might emphasize flat hierarchies and open debate, effective bankers in this context often employ a more directive approach during decision-making phases while ensuring consensus is built through private consultations before public announcements. This balance between authority and collaboration is delicate but essential for maintaining morale and efficiency.</w:t>
      </w:r>
    </w:p>
    <w:bookmarkEnd w:id="24"/>
    <w:bookmarkStart w:id="25" w:name="Xfb5bed462c469bc16543717375eac52b2224282"/>
    <w:p>
      <w:pPr>
        <w:pStyle w:val="Heading2"/>
      </w:pPr>
      <w:r>
        <w:t xml:space="preserve">The Future Outlook: Sustainability and Localization</w:t>
      </w:r>
    </w:p>
    <w:p>
      <w:pPr>
        <w:pStyle w:val="FirstParagraph"/>
      </w:pPr>
      <w:r>
        <w:t xml:space="preserve">Looking forward, the role of the Banker in Russia Moscow will likely expand to include greater emphasis on sustainable finance within local parameters. While global ESG (Environmental, Social Governance) standards may face scrutiny or adaptation due to sanctions and domestic priorities, there is still significant growth potential in green energy financing especially as Russia seeks to diversify its economy away from pure resource extraction.</w:t>
      </w:r>
    </w:p>
    <w:p>
      <w:pPr>
        <w:pStyle w:val="BodyText"/>
      </w:pPr>
      <w:r>
        <w:t xml:space="preserve">Additionally the push for import substitution means that bankers must support local industries aggressively. This requires a shift from passive lending to active partnership where banks invest directly in the success of domestic manufacturers and tech firms. The banker becomes an industrial partner rather than just a lender.</w:t>
      </w:r>
    </w:p>
    <w:bookmarkEnd w:id="25"/>
    <w:bookmarkStart w:id="26" w:name="conclusion"/>
    <w:p>
      <w:pPr>
        <w:pStyle w:val="Heading2"/>
      </w:pPr>
      <w:r>
        <w:t xml:space="preserve">Conclusion</w:t>
      </w:r>
    </w:p>
    <w:p>
      <w:pPr>
        <w:pStyle w:val="FirstParagraph"/>
      </w:pPr>
      <w:r>
        <w:t xml:space="preserve">In conclusion, being a Banker in Russia Moscow is not simply a job; it is an immersion into one of the most complex financial ecosystems on earth. It requires blending historical awareness with technological prowess, navigating geopolitical minefields while building deep personal relationships. The challenges are formidable but so too are the opportunities for those who can master this duality. For any aspiring professional or observer, understanding this role provides critical insights into how finance operates when it intersects with national identity and global power dynamics. It is a testament to the adaptability of human systems and the enduring importance of trust in even the most turbulent times.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Russia Moscow</dc:title>
  <dc:creator/>
  <dc:language>en</dc:language>
  <cp:keywords/>
  <dcterms:created xsi:type="dcterms:W3CDTF">2026-07-30T09:26:43Z</dcterms:created>
  <dcterms:modified xsi:type="dcterms:W3CDTF">2026-07-30T09:26:43Z</dcterms:modified>
</cp:coreProperties>
</file>

<file path=docProps/custom.xml><?xml version="1.0" encoding="utf-8"?>
<Properties xmlns="http://schemas.openxmlformats.org/officeDocument/2006/custom-properties" xmlns:vt="http://schemas.openxmlformats.org/officeDocument/2006/docPropsVTypes"/>
</file>