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cbbf7f7ffeac78620209091c6c10363b943a45b"/>
    <w:p>
      <w:pPr>
        <w:pStyle w:val="Heading1"/>
      </w:pPr>
      <w:r>
        <w:t xml:space="preserve">A Reflection on the Evolving Role of a Banker in Saudi Arabia, Riyadh</w:t>
      </w:r>
    </w:p>
    <w:p>
      <w:pPr>
        <w:pStyle w:val="FirstParagraph"/>
      </w:pPr>
      <w:r>
        <w:t xml:space="preserve">The landscape of global finance is undergoing a seismic shift, driven by technological innovation, geopolitical realignments, and sweeping regulatory frameworks. Within this context few places offer as compelling a case study for reflection as</w:t>
      </w:r>
      <w:r>
        <w:t xml:space="preserve"> </w:t>
      </w:r>
      <w:r>
        <w:rPr>
          <w:bCs/>
          <w:b/>
        </w:rPr>
        <w:t xml:space="preserve">Saudi Arabia Riyadh</w:t>
      </w:r>
      <w:r>
        <w:t xml:space="preserve">. As the capital and economic heart of the Kingdom,</w:t>
      </w:r>
      <w:r>
        <w:t xml:space="preserve"> </w:t>
      </w:r>
      <w:r>
        <w:rPr>
          <w:bCs/>
          <w:b/>
        </w:rPr>
        <w:t xml:space="preserve">Saudi Arabia Riyadh</w:t>
      </w:r>
      <w:r>
        <w:t xml:space="preserve"> </w:t>
      </w:r>
      <w:r>
        <w:t xml:space="preserve">stands at the epicenter of Vision 2030, a ambitious strategic framework aimed at reducing Saudi dependence on oil diversifying its economy and developing public service sectors such as healthcare education infrastructure entertainment and tourism. In this dynamic environment the role of a</w:t>
      </w:r>
      <w:r>
        <w:t xml:space="preserve"> </w:t>
      </w:r>
      <w:r>
        <w:rPr>
          <w:bCs/>
          <w:b/>
        </w:rPr>
        <w:t xml:space="preserve">Banker</w:t>
      </w:r>
      <w:r>
        <w:t xml:space="preserve"> </w:t>
      </w:r>
      <w:r>
        <w:t xml:space="preserve">is no longer confined to traditional lending and deposit management. Instead it has evolved into a complex multifaceted profession that requires deep cultural sensitivity strategic foresight technological adeptness and unwavering ethical integrity. This reflection paper explores these dimensions analyzing how the modern</w:t>
      </w:r>
      <w:r>
        <w:t xml:space="preserve"> </w:t>
      </w:r>
      <w:r>
        <w:rPr>
          <w:bCs/>
          <w:b/>
        </w:rPr>
        <w:t xml:space="preserve">Banker</w:t>
      </w:r>
      <w:r>
        <w:t xml:space="preserve"> </w:t>
      </w:r>
      <w:r>
        <w:t xml:space="preserve">must adapt to serve the unique needs of</w:t>
      </w:r>
      <w:r>
        <w:t xml:space="preserve"> </w:t>
      </w:r>
      <w:r>
        <w:rPr>
          <w:bCs/>
          <w:b/>
        </w:rPr>
        <w:t xml:space="preserve">Saudi Arabia Riyadh</w:t>
      </w:r>
      <w:r>
        <w:t xml:space="preserve">.</w:t>
      </w:r>
    </w:p>
    <w:bookmarkStart w:id="20" w:name="Xcb05da2407f36cb5683faed1b734a8b33a3888b"/>
    <w:p>
      <w:pPr>
        <w:pStyle w:val="Heading2"/>
      </w:pPr>
      <w:r>
        <w:t xml:space="preserve">The Strategic Imperative: Aligning with Vision 2030</w:t>
      </w:r>
    </w:p>
    <w:p>
      <w:pPr>
        <w:pStyle w:val="FirstParagraph"/>
      </w:pPr>
      <w:r>
        <w:t xml:space="preserve">To understand the contemporary</w:t>
      </w:r>
    </w:p>
    <w:p>
      <w:pPr>
        <w:pStyle w:val="BodyText"/>
      </w:pPr>
      <w:r>
        <w:t xml:space="preserve">Banker in Saudi Arabia Riyadh one must first grasp the macroeconomic context. Vision 2030 is not merely a policy document; it is a national mandate for transformation. For a</w:t>
      </w:r>
    </w:p>
    <w:p>
      <w:pPr>
        <w:pStyle w:val="BodyText"/>
      </w:pPr>
      <w:r>
        <w:t xml:space="preserve">Banker this means that traditional risk assessment models based solely on historical data and collateral value are insufficient. The</w:t>
      </w:r>
    </w:p>
    <w:p>
      <w:pPr>
        <w:pStyle w:val="BodyText"/>
      </w:pPr>
      <w:r>
        <w:t xml:space="preserve">Banker must become a strategic partner to the state able to identify and finance projects that align with national goals such as renewable energy non-oil exports digital infrastructure and small-to-medium enterprise development.</w:t>
      </w:r>
    </w:p>
    <w:p>
      <w:pPr>
        <w:pStyle w:val="BodyText"/>
      </w:pPr>
      <w:r>
        <w:t xml:space="preserve">This alignment requires a shift in mindset. A</w:t>
      </w:r>
      <w:r>
        <w:t xml:space="preserve"> </w:t>
      </w:r>
      <w:r>
        <w:rPr>
          <w:bCs/>
          <w:b/>
        </w:rPr>
        <w:t xml:space="preserve">Banker</w:t>
      </w:r>
      <w:r>
        <w:t xml:space="preserve"> </w:t>
      </w:r>
      <w:r>
        <w:t xml:space="preserve">cannot simply act as an intermediary between savers and borrowers; they must act as an architect of economic diversification. In</w:t>
      </w:r>
    </w:p>
    <w:p>
      <w:pPr>
        <w:pStyle w:val="BodyText"/>
      </w:pPr>
      <w:r>
        <w:t xml:space="preserve">Saudi Arabia Riyadh this involves navigating the intricacies of public-private partnerships PPPs where the bank serves both governmental entities and private sector innovators. The reflection here is that success in this market demands more than financial acumen it requires a deep understanding of national policy trajectories and the ability to forecast how regulatory changes will impact long-term investment viability.</w:t>
      </w:r>
    </w:p>
    <w:bookmarkEnd w:id="20"/>
    <w:bookmarkStart w:id="21" w:name="Xbc777f5ee124a6878f4b016f181f7dc387fc1d6"/>
    <w:p>
      <w:pPr>
        <w:pStyle w:val="Heading2"/>
      </w:pPr>
      <w:r>
        <w:t xml:space="preserve">Cultural Nuances and Islamic Finance Principles</w:t>
      </w:r>
    </w:p>
    <w:p>
      <w:pPr>
        <w:pStyle w:val="FirstParagraph"/>
      </w:pPr>
      <w:r>
        <w:t xml:space="preserve">A critical aspect of being a</w:t>
      </w:r>
    </w:p>
    <w:p>
      <w:pPr>
        <w:pStyle w:val="BodyText"/>
      </w:pPr>
      <w:r>
        <w:t xml:space="preserve">Banker in Saudi Arabia is navigating the dual nature of its financial system. While conventional banking practices are increasingly prevalent due to globalization and foreign investment the foundational legal and cultural framework remains rooted in Islamic jurisprudence. For a</w:t>
      </w:r>
    </w:p>
    <w:p>
      <w:pPr>
        <w:pStyle w:val="BodyText"/>
      </w:pPr>
      <w:r>
        <w:t xml:space="preserve">Banker operating in Riyadh this necessitates comprehensive knowledge of Sharia-compliant finance products such as Murabaha Ijara Sukuk and Musharaka.</w:t>
      </w:r>
    </w:p>
    <w:p>
      <w:pPr>
        <w:pStyle w:val="BodyText"/>
      </w:pPr>
      <w:r>
        <w:t xml:space="preserve">This is not merely a technical requirement but a cultural imperative. The</w:t>
      </w:r>
    </w:p>
    <w:p>
      <w:pPr>
        <w:pStyle w:val="BodyText"/>
      </w:pPr>
      <w:r>
        <w:t xml:space="preserve">Banker must demonstrate respect for the religious values that underpin financial interactions in</w:t>
      </w:r>
    </w:p>
    <w:p>
      <w:pPr>
        <w:pStyle w:val="BodyText"/>
      </w:pPr>
      <w:r>
        <w:t xml:space="preserve">Saudi Arabia Riyadh. This involves ensuring that all transactions are free from Riba (interest) Gharar (excessive uncertainty) and Maysir (gambling). Reflection on this aspect reveals that trust in the banking sector is heavily influenced by perceived moral integrity. A</w:t>
      </w:r>
    </w:p>
    <w:p>
      <w:pPr>
        <w:pStyle w:val="BodyText"/>
      </w:pPr>
      <w:r>
        <w:t xml:space="preserve">Banker who fails to grasp the ethical dimensions of Islamic finance risks alienating a significant portion of the customer base. Therefore cultural competence is as vital as financial literacy. The modern</w:t>
      </w:r>
    </w:p>
    <w:p>
      <w:pPr>
        <w:pStyle w:val="BodyText"/>
      </w:pPr>
      <w:r>
        <w:t xml:space="preserve">Banker in Riyadh must be bilingual not just in language but in financial theology understanding how traditional principles can be applied to modern fintech solutions and complex corporate structures.</w:t>
      </w:r>
    </w:p>
    <w:bookmarkEnd w:id="21"/>
    <w:bookmarkStart w:id="22" w:name="X522fa4e0ddcae0413aa3ae3d8efdd2719be6718"/>
    <w:p>
      <w:pPr>
        <w:pStyle w:val="Heading2"/>
      </w:pPr>
      <w:r>
        <w:t xml:space="preserve">The Digital Transformation and Fintech Integration</w:t>
      </w:r>
    </w:p>
    <w:p>
      <w:pPr>
        <w:pStyle w:val="FirstParagraph"/>
      </w:pPr>
      <w:r>
        <w:t xml:space="preserve">Riyadh is rapidly positioning itself as a regional hub for technology and innovation. The Saudi Central Bank SAMA has been proactive in promoting regulatory sandboxes encouraging fintech startups and digital banking licenses. For the</w:t>
      </w:r>
    </w:p>
    <w:p>
      <w:pPr>
        <w:pStyle w:val="BodyText"/>
      </w:pPr>
      <w:r>
        <w:t xml:space="preserve">Banker this presents both an opportunity and a challenge. On one hand digitization allows for greater financial inclusion reaching underserved populations in rural areas outside Riyadh on the other it disrupts traditional revenue streams.</w:t>
      </w:r>
    </w:p>
    <w:p>
      <w:pPr>
        <w:pStyle w:val="BodyText"/>
      </w:pPr>
      <w:r>
        <w:t xml:space="preserve">A reflective analysis suggests that the role of a</w:t>
      </w:r>
      <w:r>
        <w:t xml:space="preserve"> </w:t>
      </w:r>
      <w:r>
        <w:rPr>
          <w:bCs/>
          <w:b/>
        </w:rPr>
        <w:t xml:space="preserve">Banker</w:t>
      </w:r>
      <w:r>
        <w:t xml:space="preserve"> </w:t>
      </w:r>
      <w:r>
        <w:t xml:space="preserve">is shifting from transactional to relational. As routine banking tasks are automated through AI and blockchain technologies the human element of banking becomes more valuable. The</w:t>
      </w:r>
    </w:p>
    <w:p>
      <w:pPr>
        <w:pStyle w:val="BodyText"/>
      </w:pPr>
      <w:r>
        <w:t xml:space="preserve">Banker in Saudi Arabia Riyadh must leverage data analytics to provide personalized financial advice while maintaining high security standards against cyber threats. This requires continuous upskilling in areas such as cybersecurity big data analytics and artificial intelligence. The</w:t>
      </w:r>
    </w:p>
    <w:p>
      <w:pPr>
        <w:pStyle w:val="BodyText"/>
      </w:pPr>
      <w:r>
        <w:t xml:space="preserve">Banker is no longer just a keeper of wealth but a guardian of digital assets and a guide through the complexities of the digital economy.</w:t>
      </w:r>
    </w:p>
    <w:bookmarkEnd w:id="22"/>
    <w:bookmarkStart w:id="23" w:name="X030d6499f54bf05196c9f1f176ac12090ef560f"/>
    <w:p>
      <w:pPr>
        <w:pStyle w:val="Heading2"/>
      </w:pPr>
      <w:r>
        <w:t xml:space="preserve">Ethical Responsibility and Social Governance</w:t>
      </w:r>
    </w:p>
    <w:p>
      <w:pPr>
        <w:pStyle w:val="FirstParagraph"/>
      </w:pPr>
      <w:r>
        <w:t xml:space="preserve">In an era where Environmental Social and Governance ESG criteria are becoming paramount, the</w:t>
      </w:r>
    </w:p>
    <w:p>
      <w:pPr>
        <w:pStyle w:val="BodyText"/>
      </w:pPr>
      <w:r>
        <w:t xml:space="preserve">Banker in Saudi Arabia Riyadh faces increasing pressure to adopt sustainable practices. This goes beyond compliance; it involves actively promoting green finance supporting initiatives that reduce carbon footprints and ensuring that lending portfolios do not fund environmentally harmful projects. Reflection on this role highlights a broader social responsibility. Banks hold significant power in shaping societal outcomes through their capital allocation decisions.</w:t>
      </w:r>
    </w:p>
    <w:p>
      <w:pPr>
        <w:pStyle w:val="BodyText"/>
      </w:pPr>
      <w:r>
        <w:t xml:space="preserve">In</w:t>
      </w:r>
    </w:p>
    <w:p>
      <w:pPr>
        <w:pStyle w:val="BodyText"/>
      </w:pPr>
      <w:r>
        <w:t xml:space="preserve">Saudi Arabia Riyadh the government has emphasized sustainability within Vision 2030 which aligns with global ESG trends. The</w:t>
      </w:r>
    </w:p>
    <w:p>
      <w:pPr>
        <w:pStyle w:val="BodyText"/>
      </w:pPr>
      <w:r>
        <w:t xml:space="preserve">Banker must integrate these principles into their core strategy, demonstrating that profitability and purpose are not mutually exclusive. This requires transparency robust governance structures and a commitment to social welfare initiatives that benefit the broader community of Riyadh.</w:t>
      </w:r>
    </w:p>
    <w:bookmarkEnd w:id="23"/>
    <w:bookmarkStart w:id="24" w:name="X71cdbe0d08ee24ee475f2c91e9d4edfb5c9a02e"/>
    <w:p>
      <w:pPr>
        <w:pStyle w:val="Heading2"/>
      </w:pPr>
      <w:r>
        <w:t xml:space="preserve">Conclusion: The Holistic Banker for a New Era</w:t>
      </w:r>
    </w:p>
    <w:p>
      <w:pPr>
        <w:pStyle w:val="FirstParagraph"/>
      </w:pPr>
      <w:r>
        <w:t xml:space="preserve">In conclusion, the role of a</w:t>
      </w:r>
    </w:p>
    <w:p>
      <w:pPr>
        <w:pStyle w:val="BodyText"/>
      </w:pPr>
      <w:r>
        <w:t xml:space="preserve">Banker in Saudi Arabia Riyadh is undergoing a profound transformation. It is no longer sufficient to possess technical skills alone. The modern</w:t>
      </w:r>
    </w:p>
    <w:p>
      <w:pPr>
        <w:pStyle w:val="BodyText"/>
      </w:pPr>
      <w:r>
        <w:t xml:space="preserve">Banker must be a hybrid professional combining financial expertise with cultural intelligence technological proficiency and ethical leadership. They must navigate the complexities of Vision 2030 respect the tenets of Islamic finance embrace digital innovation and uphold high standards of social responsibility.</w:t>
      </w:r>
    </w:p>
    <w:p>
      <w:pPr>
        <w:pStyle w:val="BodyText"/>
      </w:pPr>
      <w:r>
        <w:t xml:space="preserve">Reflecting on these aspects, it becomes clear that the</w:t>
      </w:r>
      <w:r>
        <w:t xml:space="preserve"> </w:t>
      </w:r>
      <w:r>
        <w:rPr>
          <w:bCs/>
          <w:b/>
        </w:rPr>
        <w:t xml:space="preserve">Banker</w:t>
      </w:r>
      <w:r>
        <w:t xml:space="preserve"> </w:t>
      </w:r>
      <w:r>
        <w:t xml:space="preserve">serves as a critical bridge between tradition and modernity in</w:t>
      </w:r>
    </w:p>
    <w:p>
      <w:pPr>
        <w:pStyle w:val="BodyText"/>
      </w:pPr>
      <w:r>
        <w:t xml:space="preserve">Saudi Arabia Riyadh. They are custodians of economic stability drivers of diversification agents of technological change and guardians of ethical conduct. As Riyadh continues to grow as a global financial center the demand for such well-rounded professionals will only increase. The future belongs to those who can harmonize the diverse threads of finance culture technology and ethics, ensuring that banking serves not just individual wealth but the collective prosperity of Saudi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Banker in Saudi Arabia, Riyadh</dc:title>
  <dc:creator/>
  <dc:language>en</dc:language>
  <cp:keywords/>
  <dcterms:created xsi:type="dcterms:W3CDTF">2026-07-30T03:48:08Z</dcterms:created>
  <dcterms:modified xsi:type="dcterms:W3CDTF">2026-07-30T03:48:08Z</dcterms:modified>
</cp:coreProperties>
</file>

<file path=docProps/custom.xml><?xml version="1.0" encoding="utf-8"?>
<Properties xmlns="http://schemas.openxmlformats.org/officeDocument/2006/custom-properties" xmlns:vt="http://schemas.openxmlformats.org/officeDocument/2006/docPropsVTypes"/>
</file>