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Banking</w:t>
      </w:r>
      <w:r>
        <w:t xml:space="preserve"> </w:t>
      </w:r>
      <w:r>
        <w:t xml:space="preserve">in</w:t>
      </w:r>
      <w:r>
        <w:t xml:space="preserve"> </w:t>
      </w:r>
      <w:r>
        <w:t xml:space="preserve">Uzbekistan,</w:t>
      </w:r>
      <w:r>
        <w:t xml:space="preserve"> </w:t>
      </w:r>
      <w:r>
        <w:t xml:space="preserve">Tashkent</w:t>
      </w:r>
    </w:p>
    <w:bookmarkStart w:id="26" w:name="X5fca775dde93468a41d704cb3bc3e15c5e1bb0c"/>
    <w:p>
      <w:pPr>
        <w:pStyle w:val="Heading1"/>
      </w:pPr>
      <w:r>
        <w:t xml:space="preserve">A Reflection on the Transformation of the Banking Sector in Tashkent, Uzbekistan</w:t>
      </w:r>
    </w:p>
    <w:p>
      <w:pPr>
        <w:pStyle w:val="FirstParagraph"/>
      </w:pPr>
      <w:r>
        <w:rPr>
          <w:bCs/>
          <w:b/>
        </w:rPr>
        <w:t xml:space="preserve">Date:</w:t>
      </w:r>
      <w:r>
        <w:t xml:space="preserve"> </w:t>
      </w:r>
      <w:r>
        <w:t xml:space="preserve">October 26, 2023</w:t>
      </w:r>
      <w:r>
        <w:br/>
      </w:r>
      <w:r>
        <w:rPr>
          <w:bCs/>
          <w:b/>
        </w:rPr>
        <w:t xml:space="preserve">Subject:</w:t>
      </w:r>
      <w:r>
        <w:t xml:space="preserve">The Modernization of Finance and Social Responsibility in Central Asia</w:t>
      </w:r>
    </w:p>
    <w:bookmarkStart w:id="20" w:name="Xc1a9e1e9255c3aeca910ee0fab3ab378ae090fc"/>
    <w:p>
      <w:pPr>
        <w:pStyle w:val="Heading2"/>
      </w:pPr>
      <w:r>
        <w:t xml:space="preserve">I. Introduction: The Nexus of Tradition and Modernity</w:t>
      </w:r>
    </w:p>
    <w:p>
      <w:pPr>
        <w:pStyle w:val="FirstParagraph"/>
      </w:pPr>
      <w:r>
        <w:t xml:space="preserve">To understand the role of a</w:t>
      </w:r>
      <w:r>
        <w:t xml:space="preserve"> </w:t>
      </w:r>
      <w:r>
        <w:rPr>
          <w:iCs/>
          <w:i/>
        </w:rPr>
        <w:t xml:space="preserve">Banker</w:t>
      </w:r>
      <w:r>
        <w:t xml:space="preserve"> </w:t>
      </w:r>
      <w:r>
        <w:t xml:space="preserve">in the contemporary era, one must look beyond the mere transactional nature of finance. Banking is, at its core, a social contract—a mechanism through which societies pool resources to foster growth, stability, and innovation. Nowhere is this dynamic more vividly illustrated than in Tashkent, Uzbekistan. As the capital city and the economic heart of Central Asia, Tashkent stands as a testament to rapid transformation. This reflection paper seeks to explore the evolving identity of the</w:t>
      </w:r>
      <w:r>
        <w:t xml:space="preserve"> </w:t>
      </w:r>
      <w:r>
        <w:rPr>
          <w:iCs/>
          <w:i/>
        </w:rPr>
        <w:t xml:space="preserve">Banker</w:t>
      </w:r>
      <w:r>
        <w:t xml:space="preserve"> </w:t>
      </w:r>
      <w:r>
        <w:t xml:space="preserve">within the specific context of</w:t>
      </w:r>
      <w:r>
        <w:t xml:space="preserve"> </w:t>
      </w:r>
      <w:r>
        <w:rPr>
          <w:iCs/>
          <w:i/>
        </w:rPr>
        <w:t xml:space="preserve">Uzbekistan</w:t>
      </w:r>
      <w:r>
        <w:t xml:space="preserve">, focusing on its capital,</w:t>
      </w:r>
      <w:r>
        <w:t xml:space="preserve"> </w:t>
      </w:r>
      <w:r>
        <w:rPr>
          <w:bCs/>
          <w:b/>
        </w:rPr>
        <w:t xml:space="preserve">Tashkent</w:t>
      </w:r>
      <w:r>
        <w:t xml:space="preserve">. It argues that the modern banker in this region is no longer just a custodian of wealth but a pivotal agent of structural change, tasked with bridging the gap between Soviet-era legacy systems and a digitized, globalized future.</w:t>
      </w:r>
    </w:p>
    <w:bookmarkEnd w:id="20"/>
    <w:bookmarkStart w:id="21" w:name="Xfd8b92617605a1bf1f505e1a04344feb1c67d4a"/>
    <w:p>
      <w:pPr>
        <w:pStyle w:val="Heading2"/>
      </w:pPr>
      <w:r>
        <w:t xml:space="preserve">II. Historical Context: From State Control to Market Liberalization</w:t>
      </w:r>
    </w:p>
    <w:p>
      <w:pPr>
        <w:pStyle w:val="FirstParagraph"/>
      </w:pPr>
      <w:r>
        <w:t xml:space="preserve">To appreciate the current landscape, one must reflect on the historical trajectory. For decades under the Soviet Union, banking in</w:t>
      </w:r>
      <w:r>
        <w:t xml:space="preserve"> </w:t>
      </w:r>
      <w:r>
        <w:rPr>
          <w:iCs/>
          <w:i/>
        </w:rPr>
        <w:t xml:space="preserve">Uzbekistan</w:t>
      </w:r>
      <w:r>
        <w:t xml:space="preserve"> </w:t>
      </w:r>
      <w:r>
        <w:t xml:space="preserve">was monolithic; there were no commercial banks in the Western sense, only state-controlled institutions managing centralized allocation of funds. The transition to independence brought not just political sovereignty but a profound economic shift. In Tashkent, this manifested as the establishment of a dual banking system: state-owned banks and newly emerging private commercial entities.</w:t>
      </w:r>
      <w:r>
        <w:t xml:space="preserve"> </w:t>
      </w:r>
      <w:r>
        <w:t xml:space="preserve">For the</w:t>
      </w:r>
      <w:r>
        <w:t xml:space="preserve"> </w:t>
      </w:r>
      <w:r>
        <w:rPr>
          <w:iCs/>
          <w:i/>
        </w:rPr>
        <w:t xml:space="preserve">Banker</w:t>
      </w:r>
      <w:r>
        <w:t xml:space="preserve"> </w:t>
      </w:r>
      <w:r>
        <w:t xml:space="preserve">in Tashkent, this period was defined by uncertainty and foundational building. They had to learn market principles—risk assessment, interest rate management, and customer service—from scratch. The reflection here is one of resilience. The early bankers were pioneers who navigated hyperinflation periods and currency instability. Their primary role was stabilizing the local economy amidst chaos, laying the groundwork for what would eventually become one of Central Asia’s most dynamic financial sectors.</w:t>
      </w:r>
    </w:p>
    <w:bookmarkEnd w:id="21"/>
    <w:bookmarkStart w:id="22" w:name="X21dac5d4be71cc2b330278d994d6722a2b2217d"/>
    <w:p>
      <w:pPr>
        <w:pStyle w:val="Heading2"/>
      </w:pPr>
      <w:r>
        <w:t xml:space="preserve">III. Digital Transformation: Tashkent as a Tech Hub</w:t>
      </w:r>
    </w:p>
    <w:p>
      <w:pPr>
        <w:pStyle w:val="FirstParagraph"/>
      </w:pPr>
      <w:r>
        <w:t xml:space="preserve">In recent years, the narrative has shifted dramatically toward digitalization.</w:t>
      </w:r>
      <w:r>
        <w:t xml:space="preserve"> </w:t>
      </w:r>
      <w:r>
        <w:rPr>
          <w:bCs/>
          <w:b/>
        </w:rPr>
        <w:t xml:space="preserve">Tashkent</w:t>
      </w:r>
      <w:r>
        <w:t xml:space="preserve">, like many modern capitals, is racing to become a "Smart City." For the</w:t>
      </w:r>
      <w:r>
        <w:t xml:space="preserve"> </w:t>
      </w:r>
      <w:r>
        <w:rPr>
          <w:iCs/>
          <w:i/>
        </w:rPr>
        <w:t xml:space="preserve">Banker</w:t>
      </w:r>
      <w:r>
        <w:t xml:space="preserve">, this represents both an opportunity and an existential challenge. The rise of fintech startups in Tashkent and the adoption of mobile banking by the masses have democratized access to financial services.</w:t>
      </w:r>
      <w:r>
        <w:t xml:space="preserve"> </w:t>
      </w:r>
      <w:r>
        <w:t xml:space="preserve">Reflecting on this shift, one observes a change in the banker's skill set. Technical proficiency is now as important as financial acumen. A banker in Tashkent today must understand user experience (UX) design, cybersecurity, and data analytics. For instance, the widespread adoption of electronic payment systems has reduced reliance on cash transactions—a significant cultural shift in a society that traditionally valued physical currency for its tangibility. The</w:t>
      </w:r>
      <w:r>
        <w:t xml:space="preserve"> </w:t>
      </w:r>
      <w:r>
        <w:rPr>
          <w:iCs/>
          <w:i/>
        </w:rPr>
        <w:t xml:space="preserve">Banker</w:t>
      </w:r>
      <w:r>
        <w:t xml:space="preserve"> </w:t>
      </w:r>
      <w:r>
        <w:t xml:space="preserve">is now a teacher and facilitator of digital literacy, guiding older generations toward online platforms while empowering the youth with sophisticated investment tools.</w:t>
      </w:r>
    </w:p>
    <w:bookmarkEnd w:id="22"/>
    <w:bookmarkStart w:id="23" w:name="X915fbce10c73ac4400797993c5e12053d9d47c9"/>
    <w:p>
      <w:pPr>
        <w:pStyle w:val="Heading2"/>
      </w:pPr>
      <w:r>
        <w:t xml:space="preserve">IV. Financial Inclusion and Social Responsibility</w:t>
      </w:r>
    </w:p>
    <w:p>
      <w:pPr>
        <w:pStyle w:val="FirstParagraph"/>
      </w:pPr>
      <w:r>
        <w:t xml:space="preserve">Beyond technology, the role of the</w:t>
      </w:r>
      <w:r>
        <w:t xml:space="preserve"> </w:t>
      </w:r>
      <w:r>
        <w:rPr>
          <w:iCs/>
          <w:i/>
        </w:rPr>
        <w:t xml:space="preserve">Banker</w:t>
      </w:r>
      <w:r>
        <w:t xml:space="preserve"> </w:t>
      </w:r>
      <w:r>
        <w:t xml:space="preserve">in</w:t>
      </w:r>
      <w:r>
        <w:t xml:space="preserve"> </w:t>
      </w:r>
      <w:r>
        <w:rPr>
          <w:bCs/>
          <w:b/>
        </w:rPr>
        <w:t xml:space="preserve">Tashkent</w:t>
      </w:r>
      <w:r>
        <w:t xml:space="preserve"> </w:t>
      </w:r>
      <w:r>
        <w:t xml:space="preserve">is deeply tied to social inclusion. Uzbekistan has a significant unbanked population, particularly in rural areas surrounding Tashkent. The strategic goal of recent banking reforms is to expand financial inclusion. This requires bankers to act as community builders, designing micro-finance products that support small and medium-sized enterprises (SMEs).</w:t>
      </w:r>
      <w:r>
        <w:t xml:space="preserve"> </w:t>
      </w:r>
      <w:r>
        <w:t xml:space="preserve">This aspect of the reflection highlights the ethical dimension of banking. A banker in</w:t>
      </w:r>
      <w:r>
        <w:t xml:space="preserve"> </w:t>
      </w:r>
      <w:r>
        <w:rPr>
          <w:iCs/>
          <w:i/>
        </w:rPr>
        <w:t xml:space="preserve">Uzbekistan</w:t>
      </w:r>
      <w:r>
        <w:t xml:space="preserve"> </w:t>
      </w:r>
      <w:r>
        <w:t xml:space="preserve">is not merely optimizing profit margins; they are facilitating poverty alleviation by providing capital to local artisans, farmers, and entrepreneurs in the Tashkent region. The success of a bank is increasingly measured by its social impact index—how many households have been brought into the formal economy? How many small businesses have survived their first five years thanks to accessible credit? This shift from shareholder primacy to stakeholder capitalism is a defining characteristic of modern banking in</w:t>
      </w:r>
      <w:r>
        <w:t xml:space="preserve"> </w:t>
      </w:r>
      <w:r>
        <w:rPr>
          <w:bCs/>
          <w:b/>
        </w:rPr>
        <w:t xml:space="preserve">Tashkent</w:t>
      </w:r>
      <w:r>
        <w:t xml:space="preserve">.</w:t>
      </w:r>
    </w:p>
    <w:bookmarkEnd w:id="23"/>
    <w:bookmarkStart w:id="24" w:name="vi.-challenges-and-future-outlook"/>
    <w:p>
      <w:pPr>
        <w:pStyle w:val="Heading2"/>
      </w:pPr>
      <w:r>
        <w:t xml:space="preserve">VI. Challenges and Future Outlook</w:t>
      </w:r>
    </w:p>
    <w:p>
      <w:pPr>
        <w:pStyle w:val="FirstParagraph"/>
      </w:pPr>
      <w:r>
        <w:t xml:space="preserve">However, this transformation is not without friction. The regulatory environment in</w:t>
      </w:r>
      <w:r>
        <w:t xml:space="preserve"> </w:t>
      </w:r>
      <w:r>
        <w:rPr>
          <w:iCs/>
          <w:i/>
        </w:rPr>
        <w:t xml:space="preserve">Uzbekistan</w:t>
      </w:r>
      <w:r>
        <w:t xml:space="preserve"> </w:t>
      </w:r>
      <w:r>
        <w:t xml:space="preserve">continues to evolve, requiring bankers to be agile compliance officers. Furthermore, the brain drain of young financial professionals seeking opportunities abroad poses a challenge to talent retention in Tashkent. There is also the persistent trust deficit; while younger generations embrace digital banking, older populations often remain skeptical of non-cash transactions due to past economic instabilities.</w:t>
      </w:r>
      <w:r>
        <w:t xml:space="preserve"> </w:t>
      </w:r>
      <w:r>
        <w:t xml:space="preserve">Looking forward, the</w:t>
      </w:r>
      <w:r>
        <w:t xml:space="preserve"> </w:t>
      </w:r>
      <w:r>
        <w:rPr>
          <w:iCs/>
          <w:i/>
        </w:rPr>
        <w:t xml:space="preserve">Banker</w:t>
      </w:r>
      <w:r>
        <w:t xml:space="preserve"> </w:t>
      </w:r>
      <w:r>
        <w:t xml:space="preserve">in</w:t>
      </w:r>
      <w:r>
        <w:t xml:space="preserve"> </w:t>
      </w:r>
      <w:r>
        <w:rPr>
          <w:bCs/>
          <w:b/>
        </w:rPr>
        <w:t xml:space="preserve">Tashkent</w:t>
      </w:r>
      <w:r>
        <w:t xml:space="preserve"> </w:t>
      </w:r>
      <w:r>
        <w:t xml:space="preserve">must cultivate deeper trust through transparency and consistent service reliability. The integration of Islamic finance principles is also gaining traction in Central Asia, offering bankers a way to cater to diverse cultural and religious preferences within the Uzbek population. This diversification allows for a more inclusive financial ecosystem that respects local traditions while adhering to global standards.</w:t>
      </w:r>
    </w:p>
    <w:bookmarkEnd w:id="24"/>
    <w:bookmarkStart w:id="25" w:name="Xfa2ce40f526ca3d4f3ba5a85bc82910545fd08f"/>
    <w:p>
      <w:pPr>
        <w:pStyle w:val="Heading2"/>
      </w:pPr>
      <w:r>
        <w:t xml:space="preserve">VII. Conclusion: The Banker as an Architect of Progress</w:t>
      </w:r>
    </w:p>
    <w:p>
      <w:pPr>
        <w:pStyle w:val="FirstParagraph"/>
      </w:pPr>
      <w:r>
        <w:t xml:space="preserve">In conclusion, the reflection on banking in</w:t>
      </w:r>
      <w:r>
        <w:t xml:space="preserve"> </w:t>
      </w:r>
      <w:r>
        <w:rPr>
          <w:iCs/>
          <w:i/>
        </w:rPr>
        <w:t xml:space="preserve">Uzbekistan</w:t>
      </w:r>
      <w:r>
        <w:t xml:space="preserve">, specifically within</w:t>
      </w:r>
      <w:r>
        <w:t xml:space="preserve"> </w:t>
      </w:r>
      <w:r>
        <w:rPr>
          <w:bCs/>
          <w:b/>
        </w:rPr>
        <w:t xml:space="preserve">Tashkent</w:t>
      </w:r>
      <w:r>
        <w:t xml:space="preserve">, reveals a profession in profound flux. The</w:t>
      </w:r>
      <w:r>
        <w:t xml:space="preserve"> </w:t>
      </w:r>
      <w:r>
        <w:rPr>
          <w:iCs/>
          <w:i/>
        </w:rPr>
        <w:t xml:space="preserve">Banker</w:t>
      </w:r>
      <w:r>
        <w:t xml:space="preserve"> </w:t>
      </w:r>
      <w:r>
        <w:t xml:space="preserve">is no longer a distant figure behind high walls but an integrated partner in the city’s development. They are educators navigating digital transitions, social entrepreneurs driving inclusion, and innovators leveraging technology for stability.</w:t>
      </w:r>
      <w:r>
        <w:t xml:space="preserve"> </w:t>
      </w:r>
      <w:r>
        <w:t xml:space="preserve">As Tashkent continues to modernize, the identity of the banker will continue to expand. They are architects of economic resilience, weaving together historical legacy with futuristic innovation. For any observer or practitioner in this field, understanding the nuances of</w:t>
      </w:r>
      <w:r>
        <w:t xml:space="preserve"> </w:t>
      </w:r>
      <w:r>
        <w:rPr>
          <w:iCs/>
          <w:i/>
        </w:rPr>
        <w:t xml:space="preserve">Uzbekistan</w:t>
      </w:r>
      <w:r>
        <w:t xml:space="preserve">'s financial landscape is not just an academic exercise; it is a lesson in how finance can serve as a catalyst for national rebirth and social cohesion. The future of banking in Tashkent lies not just in better algorithms, but in deeper human connections and unwavering commitment to the community’s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Banking in Uzbekistan, Tashkent</dc:title>
  <dc:creator/>
  <cp:keywords/>
  <dcterms:created xsi:type="dcterms:W3CDTF">2026-07-30T09:26:21Z</dcterms:created>
  <dcterms:modified xsi:type="dcterms:W3CDTF">2026-07-30T09:26:21Z</dcterms:modified>
</cp:coreProperties>
</file>

<file path=docProps/custom.xml><?xml version="1.0" encoding="utf-8"?>
<Properties xmlns="http://schemas.openxmlformats.org/officeDocument/2006/custom-properties" xmlns:vt="http://schemas.openxmlformats.org/officeDocument/2006/docPropsVTypes"/>
</file>