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Strategic</w:t>
      </w:r>
      <w:r>
        <w:t xml:space="preserve"> </w:t>
      </w:r>
      <w:r>
        <w:t xml:space="preserve">Guidance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Mother</w:t>
      </w:r>
      <w:r>
        <w:t xml:space="preserve"> </w:t>
      </w:r>
      <w:r>
        <w:t xml:space="preserve">City</w:t>
      </w:r>
    </w:p>
    <w:bookmarkStart w:id="25" w:name="X5a0602ade9ec01c4a7338053131b65a94ccb81d"/>
    <w:p>
      <w:pPr>
        <w:pStyle w:val="Heading1"/>
      </w:pPr>
      <w:r>
        <w:t xml:space="preserve">Bridging Vision and Reality: A</w:t>
      </w:r>
      <w:r>
        <w:t xml:space="preserve"> </w:t>
      </w:r>
      <w:r>
        <w:t xml:space="preserve"> </w:t>
      </w:r>
      <w:r>
        <w:t xml:space="preserve">Reflection Paper on the Role of a Business Consultant in South Africa Cape Town</w:t>
      </w:r>
    </w:p>
    <w:p>
      <w:pPr>
        <w:pStyle w:val="FirstParagraph"/>
      </w:pPr>
      <w:r>
        <w:t xml:space="preserve">The landscape of modern commerce is rarely static; it is a dynamic ecosystem shaped by global economic tides, local regulatory frameworks, technological advancements, and cultural nuances. Within this complex matrix, the role of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emerges not merely as an advisor but as a strategic architect capable of navigating ambiguity and fostering resilience. This reflection paper explores the multifaceted nature of consultancy within one of Africa’s most vibrant economic hubs: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. By examining the unique socio-economic fabric, regulatory environment, and competitive dynamics of this region, we can better understand how a consultant must adapt traditional methodologies to deliver transformative value in such a distinctive context.</w:t>
      </w:r>
    </w:p>
    <w:p>
      <w:pPr>
        <w:pStyle w:val="BodyText"/>
      </w:pPr>
      <w:r>
        <w:t xml:space="preserve">The journey into consultancy is often perceived as a linear path from analysis to implementation. However, when applied to the specificities of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it becomes evident that the process is deeply relational and contextual. The city itself serves as a microcosm of broader African trends while maintaining its own distinct identity. Known for its stunning natural beauty, thriving tourism sector, growing tech ecosystem ("The Sillicon Cape"), and deep-seated historical inequalities,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presents a paradoxical business environment. Here,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possess a dual lens: one focused on global best practices and another attuned to local realities. This duality requires more than just technical expertise; it demands cultural intelligence, empathy, and an unwavering commitment to ethical governance.</w:t>
      </w:r>
    </w:p>
    <w:bookmarkStart w:id="20" w:name="Xbcf9ebc8b8e1b20dcd3e085a4922f4aea3896c3"/>
    <w:p>
      <w:pPr>
        <w:pStyle w:val="Heading2"/>
      </w:pPr>
      <w:r>
        <w:t xml:space="preserve">The Imperative of Contextual Intelligence</w:t>
      </w:r>
    </w:p>
    <w:p>
      <w:pPr>
        <w:pStyle w:val="FirstParagraph"/>
      </w:pPr>
      <w:r>
        <w:t xml:space="preserve">In the realm of strategic planning, context is king. A generic business plan that might succeed in London or New York could fail spectacularly if implemented without adaptation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. For instance, labor laws in South Africa are robust and heavily weighted towards employee protection.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advising on restructuring must navigate the Complex Dispute Resolution mechanisms of the CCMA (Commission for Conciliation, Mediation and Arbitration) with precision. Furthermore, the concept of Broad-Based Black Economic Empowerment (B-BBEE) is not just a regulatory hurdle but a fundamental pillar of sustainable business growth in this region. Ignoring B-BBEE considerations is akin to building a house on sand; it may look appealing initially, but it lacks the structural integrity required for long-term survival.</w:t>
      </w:r>
    </w:p>
    <w:p>
      <w:pPr>
        <w:pStyle w:val="BodyText"/>
      </w:pPr>
      <w:r>
        <w:t xml:space="preserve">Reflecting on this aspect, I realize that the true value of a consultant lies not in imposing external models but in co-creating solutions that resonate with local stakeholders.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this means engaging with diverse communities, understanding the nuances of transformation, and ensuring that business strategies contribute positively to social cohesion.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acts as a bridge between corporate ambitions and societal expectations, ensuring that growth is inclusive and sustainable.</w:t>
      </w:r>
    </w:p>
    <w:bookmarkEnd w:id="20"/>
    <w:bookmarkStart w:id="21" w:name="Xa9d7e01dc4e8738a915fb3dd45acf3d88b6d044"/>
    <w:p>
      <w:pPr>
        <w:pStyle w:val="Heading2"/>
      </w:pPr>
      <w:r>
        <w:t xml:space="preserve">Navigating Regulatory Complexity and Economic Volatility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like the rest of the country, is characterized by periods of volatility. Issues such as energy insecurity (load shedding), inflation fluctuations, and currency instability pose significant challenges to businesses.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therefore be adept at risk management and scenario planning. This involves developing contingency strategies that allow clients to pivot quickly in response to unforeseen disruptions.</w:t>
      </w:r>
    </w:p>
    <w:p>
      <w:pPr>
        <w:pStyle w:val="BodyText"/>
      </w:pPr>
      <w:r>
        <w:t xml:space="preserve">Moreover, the regulatory environment in South Africa is constantly evolving. Compliance requirements span across various sectors, including financial services, environmental protection, and digital privacy (POPIA). For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staying ahead of these changes is crucial. It requires continuous learning and active engagement with industry bodies and government entities.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where the tech sector is booming, data sovereignty and cybersecurity are paramount concerns. Consultants must guide businesses in implementing robust frameworks that protect sensitive information while fostering innovation.</w:t>
      </w:r>
    </w:p>
    <w:bookmarkEnd w:id="21"/>
    <w:bookmarkStart w:id="22" w:name="Xc400843a6f54afa2163f05156b052befa6133af"/>
    <w:p>
      <w:pPr>
        <w:pStyle w:val="Heading2"/>
      </w:pPr>
      <w:r>
        <w:t xml:space="preserve">The Human Element: Leadership and Change Management</w:t>
      </w:r>
    </w:p>
    <w:p>
      <w:pPr>
        <w:pStyle w:val="FirstParagraph"/>
      </w:pPr>
      <w:r>
        <w:t xml:space="preserve">Beyond technical analysis, the heart of consultancy lies in people. Change management is often cited as the most challenging aspect of any transformation initiative.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where historical divisions still influence workplace dynamics, effective leadership is key to successful change.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facilitate dialogues that build trust and align diverse teams around a common vision.</w:t>
      </w:r>
    </w:p>
    <w:p>
      <w:pPr>
        <w:pStyle w:val="BodyText"/>
      </w:pPr>
      <w:r>
        <w:t xml:space="preserve">This requires soft skills such as active listening, conflict resolution, and emotional intelligence. It is not enough to present data; one must inspire action. In the context of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this also means addressing issues of diversity, equity, and inclusion (DEI). Businesses are increasingly expected to reflect the demographics of their surrounding communities.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plays a pivotal role in shaping HR policies that promote meritocracy while acknowledging historical imbalances.</w:t>
      </w:r>
    </w:p>
    <w:bookmarkEnd w:id="22"/>
    <w:bookmarkStart w:id="23" w:name="Xe01a6f3c83dea2a0de05303cf31af6834c32282"/>
    <w:p>
      <w:pPr>
        <w:pStyle w:val="Heading2"/>
      </w:pPr>
      <w:r>
        <w:t xml:space="preserve">Sustainability and Ethical Considerations</w:t>
      </w:r>
    </w:p>
    <w:p>
      <w:pPr>
        <w:pStyle w:val="FirstParagraph"/>
      </w:pPr>
      <w:r>
        <w:t xml:space="preserve">In recent years, there has been a paradigm shift towards sustainability and corporate social responsibility (CSR).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this is particularly relevant given the environmental challenges facing the region, such as water scarcity. A forward-thinking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integrates sustainability into the core business strategy rather than treating it as an add-on. This involves assessing supply chain risks, promoting circular economy principles, and engaging with local communities to ensure mutual benefit.</w:t>
      </w:r>
    </w:p>
    <w:p>
      <w:pPr>
        <w:pStyle w:val="BodyText"/>
      </w:pPr>
      <w:r>
        <w:t xml:space="preserve">Ethics is another critical dimension. In a market where corruption can still pose risks, integrity must be the cornerstone of consulting engagements.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must advocate for transparent governance practices and ethical leadership. This builds long-term trust with stakeholders and enhances the reputation of both the consultant and their clients.</w:t>
      </w:r>
    </w:p>
    <w:bookmarkEnd w:id="23"/>
    <w:bookmarkStart w:id="24" w:name="Xfddb605e1ca3334b58d4eeebde5cb722ceb04b3"/>
    <w:p>
      <w:pPr>
        <w:pStyle w:val="Heading2"/>
      </w:pPr>
      <w:r>
        <w:t xml:space="preserve">The Future Landscape: Technology and Innovation</w:t>
      </w:r>
    </w:p>
    <w:p>
      <w:pPr>
        <w:pStyle w:val="FirstParagraph"/>
      </w:pPr>
      <w:r>
        <w:t xml:space="preserve">The future of business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is intertwined with technology. The city’s emergence as a global tech hub offers immense opportunities for growth. However, bridging the digital divide remains a challenge.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guide organizations in leveraging technology to enhance efficiency and customer experience while ensuring that these advancements do not exacerbate existing inequalities.</w:t>
      </w:r>
    </w:p>
    <w:p>
      <w:pPr>
        <w:pStyle w:val="BodyText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Africa Cape Town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Strategic Guidance in the Mother City</dc:title>
  <dc:creator/>
  <dc:language>en</dc:language>
  <cp:keywords/>
  <dcterms:created xsi:type="dcterms:W3CDTF">2026-07-29T19:40:05Z</dcterms:created>
  <dcterms:modified xsi:type="dcterms:W3CDTF">2026-07-29T19:40:05Z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