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Heart</w:t>
      </w:r>
      <w:r>
        <w:t xml:space="preserve"> </w:t>
      </w:r>
      <w:r>
        <w:t xml:space="preserve">of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0" w:name="Xb56ae1316297223982bb218e5a2b0e096a0a6e6"/>
    <w:p>
      <w:pPr>
        <w:pStyle w:val="Heading1"/>
      </w:pPr>
      <w:r>
        <w:t xml:space="preserve">The Reflection Paper： The Carpenter in the Heart of Pakistan Karachi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the sprawling, vibrant， and often chaotic urban landscape of</w:t>
      </w:r>
      <w:r>
        <w:t xml:space="preserve"> </w:t>
      </w:r>
      <w:r>
        <w:rPr>
          <w:bCs/>
          <w:b/>
        </w:rPr>
        <w:t xml:space="preserve">Pakistan Karachi</w:t>
      </w:r>
      <w:r>
        <w:t xml:space="preserve">， there exists a profession that embodies both traditional artistry and relentless survival. It is not merely a trade； it is an institution embedded in the socio-economic fabric of one of the world's largest cities： The Carpenter. For centuries， carpentry has served as a bridge between raw nature and human habitation， but in Karachi， its role transcends simple craftsmanship. This reflection paper explores how the figure of the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represents resilience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Reflection Paper: The Carpenter in the Heart of Pakistan Karachi</dc:title>
  <dc:creator/>
  <dc:language>en</dc:language>
  <cp:keywords/>
  <dcterms:created xsi:type="dcterms:W3CDTF">2026-09-26T01:23:32Z</dcterms:created>
  <dcterms:modified xsi:type="dcterms:W3CDTF">2026-09-26T01:23:32Z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