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Professional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772c2114b88f661851287bce3c56a8b957be13d"/>
    <w:p>
      <w:pPr>
        <w:pStyle w:val="Heading1"/>
      </w:pPr>
      <w:r>
        <w:t xml:space="preserve">A Reflection Paper on the Professional Practice of a Curriculum Developer in Uzbekistan Tashkent</w:t>
      </w:r>
    </w:p>
    <w:p>
      <w:pPr>
        <w:pStyle w:val="FirstParagraph"/>
      </w:pPr>
      <w:r>
        <w:t xml:space="preserve">As I finalize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, I find myself contemplating the intricate journey that has shaped my professional identity as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within the dynamic educational landscape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This document is not merely an academic exercise; it is a deeply personal and professional reckoning with the responsibilities, challenges, and transformative possibilities inherent in designing learning frameworks for a nation undergoing rapid modernization. The city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with its rich historical tapestry and forward-looking aspirations, serves as both a backdrop and a catalyst for this work. In crafting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, I aim to explore how the role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extends beyond document drafting to become an act of cultural stewardship, pedagogical innovation, and national progress.</w:t>
      </w:r>
    </w:p>
    <w:p>
      <w:pPr>
        <w:pStyle w:val="BodyText"/>
      </w:pPr>
      <w:r>
        <w:t xml:space="preserve">When examining the educational reforms currently sweeping through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it becomes abundantly clear that the demand for skilled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professionals has never been more critical. The government’s commitment to aligning national education with international standards, while simultaneously preserving Uzbek cultural heritage, requires a nuanced approach. As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I have learned that curriculum design is not a static process; it is a living dialogue between global best practices and local realities.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serves as an opportunity to document how I navigate this delicate balance, ensuring that every learning outcome, assessment strategy, and pedagogical framework resonates with the students and educators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One of the most profound realizations documented in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is the centrality of stakeholder collaboration. A successful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cannot work in isolation.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I have engaged with ministry officials, school principals, veteran teachers, parents, and even students themselves. These conversations have revealed that a well-crafted curriculum must be co-created rather than imposed. The cultural fabric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demands respect for traditional pedagogical values while embracing evidence-based instructional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Paper on the Professional Practice of a Curriculum Developer in Uzbekistan Tashkent</dc:title>
  <dc:creator/>
  <dc:language>en</dc:language>
  <cp:keywords/>
  <dcterms:created xsi:type="dcterms:W3CDTF">2026-09-25T11:58:25Z</dcterms:created>
  <dcterms:modified xsi:type="dcterms:W3CDTF">2026-09-25T11:58:25Z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