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Professional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772c2114b88f661851287bce3c56a8b957be13d"/>
    <w:p>
      <w:pPr>
        <w:pStyle w:val="Heading1"/>
      </w:pPr>
      <w:r>
        <w:t xml:space="preserve">A Reflection Paper on the Professional Practice of a Curriculum Developer in Uzbekistan Tashkent</w:t>
      </w:r>
    </w:p>
    <w:p>
      <w:pPr>
        <w:pStyle w:val="FirstParagraph"/>
      </w:pPr>
      <w:r>
        <w:t xml:space="preserve">As I finalize this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, I find myself contemplating the intricate journey that has shaped my professional identity as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within the dynamic educational landscape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This document is not merely an academic exercise; it is a deeply personal and professional reckoning with the responsibilities, challenges, and transformative possibilities inherent in designing learning frameworks for a nation undergoing rapid modernization. The city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with its rich historical tapestry and forward-looking aspirations, serves as both a backdrop and a catalyst for this work. In crafting this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, I aim to explore how the role of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extends beyond document drafting to become an act of cultural stewardship, pedagogical innovation, and national progress.</w:t>
      </w:r>
    </w:p>
    <w:p>
      <w:pPr>
        <w:pStyle w:val="BodyText"/>
      </w:pPr>
      <w:r>
        <w:t xml:space="preserve">When examining the educational reforms currently sweeping through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it becomes abundantly clear that the demand for skilled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professionals has never been more critical. The government’s commitment to aligning national education with international standards, while simultaneously preserving Uzbek cultural heritage, requires a nuanced approach. As a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, I have learned that curriculum design is not a static process; it is a living dialogue between global best practices and local realities. This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 </w:t>
      </w:r>
      <w:r>
        <w:t xml:space="preserve">serves as an opportunity to document how I navigate this delicate balance, ensuring that every learning outcome, assessment strategy, and pedagogical framework resonates with the students and educators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One of the most profound realizations documented in this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 </w:t>
      </w:r>
      <w:r>
        <w:t xml:space="preserve">is the centrality of stakeholder collaboration. A successful</w:t>
      </w:r>
      <w:r>
        <w:t xml:space="preserve"> </w:t>
      </w:r>
      <w:r>
        <w:rPr>
          <w:bCs/>
          <w:b/>
        </w:rPr>
        <w:t xml:space="preserve">Curriculum Developer</w:t>
      </w:r>
      <w:r>
        <w:t xml:space="preserve"> </w:t>
      </w:r>
      <w:r>
        <w:t xml:space="preserve">cannot work in isolation.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I have engaged with ministry officials, school principals, veteran teachers, parents, and even students themselves. These conversations have revealed that a well-crafted curriculum must be co-created rather than imposed. The cultural fabric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demands respect for traditional pedagogical values while embracing evidence-based instructional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Paper on the Professional Practice of a Curriculum Developer in Uzbekistan Tashkent</dc:title>
  <dc:creator/>
  <dc:language>en</dc:language>
  <cp:keywords/>
  <dcterms:created xsi:type="dcterms:W3CDTF">2026-07-29T19:18:22Z</dcterms:created>
  <dcterms:modified xsi:type="dcterms:W3CDTF">2026-07-29T19:18:22Z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