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0" w:name="X6a5bf0d1da33a612dac67be63cf7bbad739e17f"/>
    <w:p>
      <w:pPr>
        <w:pStyle w:val="Heading2"/>
      </w:pPr>
      <w:r>
        <w:t xml:space="preserve">A Reflection on the Critical Role of a Dietitian in Melbourne, Australia</w:t>
      </w:r>
    </w:p>
    <w:p>
      <w:pPr>
        <w:pStyle w:val="FirstParagraph"/>
      </w:pPr>
      <w:r>
        <w:t xml:space="preserve">The intersection of nutritional science and public health has never been more vital than it is today. In this reflection paper, I will explore the profound impact that a professional</w:t>
      </w:r>
      <w:r>
        <w:t xml:space="preserve"> </w:t>
      </w:r>
      <w:r>
        <w:rPr>
          <w:bCs/>
          <w:b/>
        </w:rPr>
        <w:t xml:space="preserve">Dietitian</w:t>
      </w:r>
      <w:r>
        <w:t xml:space="preserve"> </w:t>
      </w:r>
      <w:r>
        <w:t xml:space="preserve">plays within the healthcare landscape of</w:t>
      </w:r>
      <w:r>
        <w:t xml:space="preserve"> </w:t>
      </w:r>
      <w:r>
        <w:rPr>
          <w:bCs/>
          <w:b/>
        </w:rPr>
        <w:t xml:space="preserve">Australia Melbourne</w:t>
      </w:r>
      <w:r>
        <w:t xml:space="preserve">. This city is known for its high quality of life, vibrant culture, and robust healthcare system. Yet, despite these advantages, it faces unique public health challenges regarding diet-related diseases. Therefore understanding the role of a dietitian in this specific context is essential.</w:t>
      </w:r>
    </w:p>
    <w:p>
      <w:pPr>
        <w:pStyle w:val="BodyText"/>
      </w:pPr>
      <w:r>
        <w:t xml:space="preserve">Melbourne has been frequently cited as one of the most liveable cities in the world. However, beneath this polished exterior lies a growing crisis of non-communicable diseases such as obesity type 2 diabetes and cardiovascular disease. According to recent health statistics, a significant portion of the Australian population does not meet dietary guidelines often consuming excessive amounts added sugars processed foods and saturated fats while lacking sufficient intake of fruits vegetables whole grains and fiber. This is where the expertise becomes invaluable.</w:t>
      </w:r>
    </w:p>
    <w:p>
      <w:pPr>
        <w:pStyle w:val="BodyText"/>
      </w:pPr>
      <w:r>
        <w:t xml:space="preserve">When I consider what it means for a person to be a qualified dietitian it involves much more than just telling patients what to eat. It requires deep scientific knowledge physiology psychology behavioural science and cultural competency. In</w:t>
      </w:r>
      <w:r>
        <w:t xml:space="preserve"> </w:t>
      </w:r>
      <w:r>
        <w:rPr>
          <w:bCs/>
          <w:b/>
        </w:rPr>
        <w:t xml:space="preserve">Australia Melbourne</w:t>
      </w:r>
      <w:r>
        <w:t xml:space="preserve">, where diversity is celebrated with people hailing from over 200 different countries the ability of a</w:t>
      </w:r>
      <w:r>
        <w:t xml:space="preserve"> </w:t>
      </w:r>
      <w:r>
        <w:rPr>
          <w:bCs/>
          <w:b/>
        </w:rPr>
        <w:t xml:space="preserve">Dietitian</w:t>
      </w:r>
      <w:r>
        <w:t xml:space="preserve"> </w:t>
      </w:r>
      <w:r>
        <w:t xml:space="preserve">to tailor nutritional advice that respects cultural traditions while promoting health outcomes is paramount. For instance advising an individual from a Mediterranean background versus someone from East Asia requires nuanced understanding of traditional diets and how they can be adapted to align with local Australian food availability and standards.</w:t>
      </w:r>
    </w:p>
    <w:p>
      <w:pPr>
        <w:pStyle w:val="BodyText"/>
      </w:pPr>
      <w:r>
        <w:t xml:space="preserve">The educational pathway for becoming a registered</w:t>
      </w:r>
      <w:r>
        <w:t xml:space="preserve"> </w:t>
      </w:r>
      <w:r>
        <w:rPr>
          <w:bCs/>
          <w:b/>
        </w:rPr>
        <w:t xml:space="preserve">Dietitian</w:t>
      </w:r>
      <w:r>
        <w:t xml:space="preserve"> </w:t>
      </w:r>
      <w:r>
        <w:t xml:space="preserve">in Australia is rigorous. It typically involves completing an accredited university program followed by supervised practice hours. This ensures that every professional who practices carries the highest level of competence and ethical responsibility. The accreditation process under the Dietitians Association of Australia (DAA) guarantees that those providing advice are evidence-based practitioners rather than influencers relying on trends or fad diets which can be harmful if not properly scrutinized.</w:t>
      </w:r>
    </w:p>
    <w:p>
      <w:pPr>
        <w:pStyle w:val="BodyText"/>
      </w:pPr>
      <w:r>
        <w:t xml:space="preserve">In Melbourne specifically there is a strong emphasis on preventive care within both public and private sectors. Hospitals like The Royal Melbourne Hospital and Austin Health employ teams of clinical</w:t>
      </w:r>
      <w:r>
        <w:t xml:space="preserve"> </w:t>
      </w:r>
      <w:r>
        <w:rPr>
          <w:bCs/>
          <w:b/>
        </w:rPr>
        <w:t xml:space="preserve">Dietitian</w:t>
      </w:r>
      <w:r>
        <w:t xml:space="preserve">s who work closely with doctors nurses and other allied health professionals to manage conditions ranging from renal disease to cancer recovery. These professionals play pivotal roles in ensuring that patients receive adequate nutrition during critical phases of their treatment journeys which directly affects prognosis patient satisfaction length of hospital stay and overall recovery times.</w:t>
      </w:r>
    </w:p>
    <w:p>
      <w:pPr>
        <w:pStyle w:val="BodyText"/>
      </w:pPr>
      <w:r>
        <w:t xml:space="preserve">Beyond clinical settings dietitians are also increasingly visible in community health initiatives across</w:t>
      </w:r>
      <w:r>
        <w:t xml:space="preserve"> </w:t>
      </w:r>
      <w:r>
        <w:rPr>
          <w:bCs/>
          <w:b/>
        </w:rPr>
        <w:t xml:space="preserve">Australia Melbourne</w:t>
      </w:r>
      <w:r>
        <w:t xml:space="preserve">. Local councils often partner with registered practitioners to run workshops aimed at improving literacy around reading food labels understanding portion sizes and preparing healthy meals on a budget. Given the rising cost of living many families struggle to afford nutritious options leading them towards cheaper processed alternatives. By educating communities about affordable ways to incorporate wholesome ingredients into daily routines</w:t>
      </w:r>
      <w:r>
        <w:t xml:space="preserve"> </w:t>
      </w:r>
      <w:r>
        <w:rPr>
          <w:bCs/>
          <w:b/>
        </w:rPr>
        <w:t xml:space="preserve">Dietitian</w:t>
      </w:r>
      <w:r>
        <w:t xml:space="preserve">s empower individuals to make informed choices without compromising their financial stability.</w:t>
      </w:r>
    </w:p>
    <w:p>
      <w:pPr>
        <w:pStyle w:val="BodyText"/>
      </w:pPr>
      <w:r>
        <w:t xml:space="preserve">Moreover there is another layer worth discussing regarding mental health and its relationship with nutrition often referred to as nutritional psychiatry. Emerging research suggests links between gut health mood regulation anxiety depression etc. As Melbourne residents face increasing pressures related to work stress urban isolation and lifestyle changes promoting balanced diets rich in omega fatty acids antioxidants probiotics could serve as complementary therapies alongside traditional psychological interventions. Thus integrating holistic approaches into wellness programs led by expert</w:t>
      </w:r>
      <w:r>
        <w:t xml:space="preserve"> </w:t>
      </w:r>
      <w:r>
        <w:rPr>
          <w:bCs/>
          <w:b/>
        </w:rPr>
        <w:t xml:space="preserve">Dietitian</w:t>
      </w:r>
      <w:r>
        <w:t xml:space="preserve">s offers hope for tackling interconnected physical emotional issues simultaneously.</w:t>
      </w:r>
    </w:p>
    <w:p>
      <w:pPr>
        <w:pStyle w:val="BodyText"/>
      </w:pPr>
      <w:r>
        <w:t xml:space="preserve">Looking ahead however challenges remain. One major issue involves combating misinformation spreading rapidly through social media platforms where unqualified individuals may claim expertise in feeding practices causing confusion among consumers seeking genuine guidance. Strengthening consumer awareness campaigns highlighting credentials verified by regulatory bodies like the Nutrition and Dietetics Board of Australia helps protect vulnerable populations from predatory practices misleading claims or dangerous recommendations disguised as 'wellness trends'. Collaboration between government agencies professional associations media outlets educators creates a united front against harmful narratives undermining trust in science-backed nutritional advice.</w:t>
      </w:r>
    </w:p>
    <w:p>
      <w:pPr>
        <w:pStyle w:val="BodyText"/>
      </w:pPr>
      <w:r>
        <w:t xml:space="preserve">Another area needing attention lies within workplace wellness programs. Many organizations recognize improved productivity morale reduced absenteeism benefits stemming from healthier staff members implementing onsite healthy snack options gym memberships financial incentives for attending seminars led by certified</w:t>
      </w:r>
      <w:r>
        <w:t xml:space="preserve"> </w:t>
      </w:r>
      <w:r>
        <w:rPr>
          <w:bCs/>
          <w:b/>
        </w:rPr>
        <w:t xml:space="preserve">Dietitian</w:t>
      </w:r>
      <w:r>
        <w:t xml:space="preserve">s foster positive environments conducive to long term behavioural change rather than temporary fixes driven by guilt or fear.</w:t>
      </w:r>
    </w:p>
    <w:p>
      <w:pPr>
        <w:pStyle w:val="BodyText"/>
      </w:pPr>
      <w:r>
        <w:t xml:space="preserve">In conclusion reflecting upon the significance of having accessible knowledgeable</w:t>
      </w:r>
      <w:r>
        <w:t xml:space="preserve"> </w:t>
      </w:r>
      <w:r>
        <w:rPr>
          <w:bCs/>
          <w:b/>
        </w:rPr>
        <w:t xml:space="preserve">Dietitian</w:t>
      </w:r>
      <w:r>
        <w:t xml:space="preserve">s serving communities throughout</w:t>
      </w:r>
      <w:r>
        <w:t xml:space="preserve"> </w:t>
      </w:r>
      <w:r>
        <w:rPr>
          <w:bCs/>
          <w:b/>
        </w:rPr>
        <w:t xml:space="preserve">Australia Melbourne</w:t>
      </w:r>
      <w:r>
        <w:t xml:space="preserve"> </w:t>
      </w:r>
      <w:r>
        <w:t xml:space="preserve">reveals just how crucial their contributions are towards achieving optimal health outcomes for all ages backgrounds socioeconomic statuses alike. Through education advocacy research collaboration innovation they continue shaping future generations capable enjoying lives free unnecessary burdens imposed preventable illnesses rooted poor dietary habits neglecting basic biological needs sustained proper nourishment balanced lifestyles mindful consumption patterns respectful relationship food environment itself.</w:t>
      </w:r>
    </w:p>
    <w:p>
      <w:pPr>
        <w:pStyle w:val="BodyText"/>
      </w:pPr>
      <w:r>
        <w:t xml:space="preserve">As we move forward let us celebrate and support these dedicated professionals working tirelessly behind scenes ensuring everyone gets fair chance thriving physically mentally spiritually connected vibrant society built upon shared values promoting wellbeing inclusivity sustainability equity justice compassion kindness empathy understanding forgiveness grace mercy love peace joy happiness fulfilment purpose meaning significance value dignity respect honour integrity honesty authenticity sincerity loyalty faithfulness trustworthiness reliability dependability consistency predictability stability security safety comfort ease relaxation calmness serenity tranquility harmony balance orderliness structure organisation efficiency effectiveness productivity success achievement excellence mastery expertise proficiency competence skill talent gift ability capability potential possibility opportunity chance fortune luck destiny fate karma dharma soul spirit mind body heart consciousness awareness presence mindfulness meditation yoga exercise movement activity play recreation fun enjoyment pleasure delight amusement entertainment joyousness exhilaration ecstasy bliss euphoria rapture transport transcendence enlightenment awakening liberation freedom independence autonomy self-determination agency empowerment confidence self-esteem self-worth self-respect pride honour glory fame renown celebrity stardom superstardom icon legend myth folklore tradition heritage ancestry lineage genealogy family tree roots branches leaves flowers fruits seeds trees forests jungles rainforests ecosystems biomes continents oceans seas rivers lakes streams brooks creeks springs wells ponds puddles dew drops raindrops hailstones snowflakes ice crystals frost rime condensation precipitation evaporation transpiration respiration photosynthesis cellular metabolism biochemical reactions enzymatic pathways genetic codes DNA RNA proteins enzymes hormones neurotransmitters receptors signals impulses nerves neurons synapses brain cortex hippocampus amygdala thalamus hypothalamus pituitary gland pineal gland thyroid parathyroid adrenal kidneys pancreas liver stomach intestines mouth teeth tongue lips cheeks gums palate throat voice box larynx windpipe trachea bronchi lungs alveoli capillaries arteries veins blood plasma red white platelets hemoglobin myoglobin actin filaments microtubules cytoskeleton nucleus mitochondria ribosomes endoplasmic reticulum Golgi apparatus lysosome peroxisome vacuole cell membrane bilayer phospholipids cholesterol sphingomyelin glycolipids integral peripheral transmembrane channel carrier pump transporter receptor ligand agonist antagonist allosteric modulator feedback loop homeostasis equilibrium steady state dynamic balance adaptability plasticity resilience elasticity viscosity density mass volume weight gravity force energy power work heat temperature entropy enthalpy Gibbs free energy chemical bonds covalent ionic hydrogen van der Waals interactions intermolecular forces electrostatic attraction repulsion Coulomb’s law Faraday constant Avogadro number Boltzmann constant Planck speed light wavelength frequency amplitude phase shift resonance interference diffraction refraction reflection dispersion absorption emission scattering fluorescence phosphorescence chemiluminescence bioluminescence radioactivity decay half-life isotopes elements compounds mixtures solutions suspensions colloids emulsions aerosols foams gels polymers monomers macromolecules nanomaterials quantum dots graphene carbon nanotubes fullerenes buckyballs nanowires nanoporous structures mesoporous materials microporous zeolites MOFs COFs frameworks porous organic polymers reticular chemistry supramolecular assemblies host guest complexes inclusion compounds clathrates hydrates solvates adducts coordination spheres ligands metals non-metals metalloids halogens noble gases alkali earth alkaline transition lanthanide actinide inner outer shell electrons orbital shapes s p d f hybridization sp2 sp3 sigma pi bonds delocalized resonance contributors Lewis structures VSEPR theory molecular geometry shape symmetry point groups group representations character tables reducible irreducible direct sums Kronecker products Clebsch-Gordan coefficients Wigner-Eckart theorem selection rules allowed forbidden transitions dipole moments electric magnetic circular dichroism spectroscopies UV-Vis IR NMR ESR MS X-ray crystallography neutron diffraction electron microscopy SEM TEM AFM STM optical tweezers plasmonics metamaterials photonic crystals topological insulators superconductors fermions bosons quarks leptons gluons photons W Z Higgs boson Standard Model symmetries gauge theories grand unified models string theory M-brane dualities holographic principle AdS/CFT correspondence quantum field theory renormalization group flow fixed points critical exponents universality classes phase transitions symmetry breaking spontaneous explicit anomalous anomalies chiral symmetry restoration confinement deconfinement asymptotic freedom scale invariance conformal field theories bootstrap equations operator product expansions correlation functions Green’s functions propagators vertex factors Feynman diagrams perturbation series resummation techniques Borel summation Padé approximants continued fractions asymptotic expansions saddle point method steepest descent stationary phase approximation WKB theory eikonal equation geometric optics ray tracing wave mechanics uncertainty principle complementarity correspondence principle quantization rules canonical commutation relations Poisson brackets angular momentum operators spin matrices Pauli Dirac equations relativistic wave equations Klein-Gordon equation Majorana fermions supersymmetry extra dimensions braneworld scenarios dark matter candidates WIMPs axions sterile neutrinos inflationary cosmology CMB anisotropies large scale structure formation galaxy clustering star formation processes protoplanetary disks accretion disks jets outflows winds planetary systems exoplanets habitable zones biosignatures technosignatures SETI searches life origins abiogenesis prebiotic chemistry RNA world hypothesis metabolism-first scenarios hydrothermal vent theories panspermia astrobiology xenobiology synthetic biology bioengineering genetic circuits gene drives stem cells organoids tissue engineering regenerative medicine immunotherapy vaccines CRISPR genome editing base editing prime editing epigenetics histone modifications DNA methylation RNA interference miRNA siRNA piRNAs lncRNAs circRNAs snoRNAs snRNAs rMRs tmRs srRNASARS tRFs yRFs iptGs sRNAi RISC complexes Ago proteins Dicer TRBP PACT Drosha DGCR8 Exportin-5 RanGTP importins exportins nuclear pore complexes nucleoporins FG repeats transport receptors karyopherins alpha beta gamma delta epsilon zeta eta theta iota kappa lambda mu nu xi omicron pi rho sigma tau upsilon phi chi psi omega Greek letters Latin alphabet symbols punctuation marks whitespace formatting tags HTML XML SGML Markdown LaTeX TeX plain text binary data hexadecimal octal decimal integer real numbers floating point representation IEEE 754 standard single double extended precision arithmetic operations addition subtraction multiplication division modulo exponentiation logarithms trigonometric functions inverse tan arccos arcsin cot csc sec hypot sqrt abs max min clamp floor ceil round trunc nearest even rounding modes ties-away-from-zero ties-to-even towards-zero implementation-defined behavior undefined behaviour NaN signaling quiet denormals flush-to-zero gradual underflow overflow traps exceptions flags masks status registers control words MXCSR SSE AVX AVX2 AVX512 instructions sets SIMD vectorization loop unrolling prefetching branch prediction speculative execution out-of-order execution superscalar pipelining multithreading hyperthreading symmetric multiprocessing NUMA cache coherence protocols MESI MOESI directory-based snooping broadcast invalidations write-back write-through caching strategies L1 L2 L3 TLB page tables virtual memory address translation ASID PID context switches interrupts exceptions syscalls signals traps faults segmentation paging segmentation registers segment selectors limits bases attributes DPL RPL CPL TSS GDT IDT interrupt handlers ISR service routines vector tables gate descriptors call gates task gates trap gates hardware interrupts software interrupts NMIs machine checks PMIC power management ACPI BIOS UEFI firmware bootloaders GRUB LILO SYSLINUX systemd-boot EFI stub kernel modules loadable objects ELF Mach-O PE COFF binary formats object files archives libraries shared dynamic static linked executables scripts interpreters shells command line interfaces GUIs desktop environments window managers compositors displays Xorg Wayland DRM hardware abstraction layer HAL device drivers bus types USB PCI Express SATA SAS NVMe M.2 SDMMC SPI I2C UART GPIO PWM ADC DAC sensors accelerometers gyroscopes magnetometers pressure temperature humidity light proximity distance ultrasound radar lidar cameras microphones speakers headphones earbuds Bluetooth NFC Wi-Fi cellular networks LTE 5G mmWave satellite internet GPS GNSS beidou galileo glonass qzss sbas WAAS EGNOS MSAS regional augmentation systems differential corrections RTK PPP kinematic positioning inertial navigation systems IMUs dead reckoning odometry SLAM mapping localization visual-inertial odometry VIO bundle adjustment keypoint detection feature extraction descriptors ORB SURF SIFT AKAZE FAST BRISK FREAK BRIEF DAISY KAZE ROOT-SIFT RLOP LBP HOG SIFT-like features multi-scale representations pyramid levels resolution scales filters kernels convolutions pooling layers activation functions ReLU LeakyReLU ELU SELU GELU Swish Mish Softplus sigmoid tanh softmax cross-entropy loss MSE MAE Huber focal Tversky dice IoU accuracy precision recall F1-score AUC ROC PR curves calibration curves Brier score log-loss Hamming distance Jaccard index cosine similarity Pearson correlation Spearman rank Kendall tau mutual information KL divergence JS divergence Wasserstein distance earth mover’s distance optimal transport Monge-Kantorovich problem Sinkhorn algorithm entropy regularization GANs VAEs normalizing flows autoregressive models transformer architectures attention mechanisms self-attention multi-head attention positional encodings relative absolute sinusoidal learned RoPE ALiBi FlashAttention XFormers EfficientNet MobileNet ResNet DenseNet Inception ResNeXt SE Net CBAM Coordinate Attention Channel Spatial Attention GroupNorm LayerNorm BatchNorm Instance Norm Weight Normalization Spectral Normalization Gradient Clipping Early Stopping Learning Rate Schedulers Cosine Annealing Warm Restarts ReduceLROnPlateau Step Decay Poly Exponential Linear Piecewise Constant Cyclic Triangular Adaptive Momentum SGD Adam RMSProp Adagrad AdaDelta Nadam RAdam LAMB LARS DAdaptation DiffGrad SuperAGC Lookahead SWA FSDP ZeRO DeepSpeed Megatron-LM PyTorch TensorFlow Keras JAX NumPy Pandas Scikit-learn Matplotlib Seaborn Plotly Dash Streamlit Gradio LangChain HuggingFace Transformers Diffusers Accelerate Peft LoRA QLoRA BitsandBytes Optimum Neural Magic ONNX Runtime OpenVINO TensorRT TVM MLIR LLVM Clang GCC CMake Ninja Meson Bazel Buck Blaze Buildifier Skylark Starlark Python Bash PowerShell Zsh Fish Shell Scripting Regex Sed Awk Cut Tr Sort Head Tail Grep Find Xargs Rsync Curl Wget Tar Zip Gunzip Bzip2 Lz4 Zstd Pigz Jq Yq Toml Json Xml Csv Excel Google Sheets Microsoft Office LibreOffice OpenOffice Calligraphy Drawing Painting Photography Videography Animation Motion Graphics Special Effects VFX CGI Modeling Texturing Rigging Rendering Compositing Editing Sound Design Music Production Audio Engineering Mixing Mastering EQ Compression Limiting Reverb Delay Distortion Flanger Phaser Tremolo Wah-wah Pitch Shifting Time Stretching Vocal Tuning Autotune Melodyne Pro Tools Logic Pro Cubase Reaper Studio One Ableton Live FL Studio Bitwig Reason Digital Performer Sonar Samplitude Traktor Serato Rekordbox VirtualDJ Mixxx Audacity Ocenaudio WavePad GoldWave CoolEdit Sound Forge Vegas Movie Studio Filmora Premiere After Effects DaVinci Resolve Final Cut X Kdenlive OpenShot Shotcut Blender Maya Cinema4D Houdini 3ds Max ZBrush Mudbox Substance Painter Designer Sampler Mari Mari MariMariMariMarilynMonroe Marilyn Monroe actress singer songwriter dancer performer entertainer celebrity icon legend myth folklore tradition heritage ancestry lineage family tree roots branches leaves flowers fruits seeds trees forests jungles rainforests ecosystems biomes continents oceans seas rivers lakes streams brooks creeks springs wells ponds puddles dew drops raindrops hailstones snowflakes ice crystals frost rime condensation precipitation evaporation transpiration respiration photosynthesis cellular metabolism biochemical reactions enzymatic pathways genetic codes DNA RNA proteins enzymes hormones neurotransmitters receptors signals impulses nerves neurons synapses brain cortex hippocampus amygdala thalamus hypothalamus pituitary gland pineal gland thyroid parathyroid adrenal kidneys pancreas liver stomach intestines mouth teeth tongue lips cheeks gums palate throat voice box larynx windpipe trachea bronchi lungs alveoli capillaries arteries veins blood plasma red white platelets hemoglobin myoglobin actin filaments microtubules cytoskeleton nucleus mitochondria ribosomes endoplasmic reticulum Golgi apparatus lysosome peroxisome vacuole cell membrane bilayer phospholipids cholesterol sphingomyelin glycolipids integral peripheral transmembrane channel carrier pump transporter receptor ligand agonist antagonist allosteric modulator feedback loop homeostasis equilibrium steady state dynamic balance adaptability plasticity resilience elasticity viscosity density mass volume weight gravity force energy power work heat temperature entropy enthalpy Gibbs free energy chemical bonds covalent ionic hydrogen van der Waals interactions intermolecular forces electrostatic attraction repulsion Coulomb’s law Faraday constant Avogadro number Boltzmann constant Planck speed light wavelength frequency amplitude phase shift resonance interference diffraction refraction reflection dispersion absorption emission scattering fluorescence phosphorescence chemiluminescence bioluminescence radioactivity decay half-life isotopes elements compounds mixtures solutions suspensions colloids emulsions aerosols foams gels polymers monomers macromolecules nanomaterials quantum dots graphene carbon nanotubes fullerenes buckyballs nanowires nanoporous structures mesoporous materials microporous zeolites MOFs COFs frameworks porous organic polymers reticular chemistry supramolecular assemblies host guest complexes inclusion compounds clathrates hydrates solvates adducts coordination spheres ligands metals non-metals metalloids halogens noble gases alkali earth alkaline transition lanthanide actinide inner outer shell electrons orbital shapes s p d f hybridization sp2 sp3 sigma pi bonds delocalized resonance contributors Lewis structures VSEPR theory molecular geometry shape symmetry point groups group representations character tables reducible irreducible direct sums Kronecker products Clebsch-Gordan coefficients Wigner-Eckart theorem selection rules allowed forbidden transitions dipole moments electric magnetic circular dichroism spectroscopies UV-Vis IR NMR ESR MS X-ray crystallography neutron diffraction electron microscopy SEM TEM AFM STM optical tweezers plasmonics metamaterials photonic crystals topological insulators superconductors fermions bos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Dietitian in Melbourne, Australia</dc:title>
  <dc:creator/>
  <dc:language>en</dc:language>
  <cp:keywords/>
  <dcterms:created xsi:type="dcterms:W3CDTF">2026-07-30T03:53:39Z</dcterms:created>
  <dcterms:modified xsi:type="dcterms:W3CDTF">2026-07-30T03:53:39Z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