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0" w:name="X71923b52e2dc8b7b9780a0b2f30dbb5a21ea760"/>
    <w:p>
      <w:pPr>
        <w:pStyle w:val="Heading1"/>
      </w:pPr>
      <w:r>
        <w:t xml:space="preserve">A Personal Reflection on the Economist within the Dynamic Landscape of United Kingdom Manchester</w:t>
      </w:r>
    </w:p>
    <w:p>
      <w:pPr>
        <w:pStyle w:val="FirstParagraph"/>
      </w:pPr>
      <w:r>
        <w:t xml:space="preserve">The act of engaging with The Economist magazine is rarely a passive exercise for me. It is an intellectual ritual that demands scrutiny, skepticism, and deep consideration. However, when this engagement takes place within the specific geographical and cultural context of United Kingdom Manchester, the experience transforms into something far more nuanced. Manchester is not merely a backdrop; it is an active participant in how I interpret global economic narratives. This reflection paper aims to explore the intersection of my personal analytical development with the publication's content, viewed through the lens of one of Britain’s most historically significant and rapidly evolving cities.</w:t>
      </w:r>
    </w:p>
    <w:p>
      <w:pPr>
        <w:pStyle w:val="BodyText"/>
      </w:pPr>
      <w:r>
        <w:t xml:space="preserve">To understand why Manchester matters in this reflection, one must first acknowledge its unique position in the United Kingdom. Unlike London, which often serves as a global financial hub detached from local industrial realities for many residents, Manchester remains deeply rooted in the narratives of industry, trade, and social change. As a city that birthed the Industrial Revolution and has since reinvented itself as a center for media, technology (MediaCityUK), and digital innovation, Manchester provides a living laboratory for economic theories. When I read an article in The Economist regarding deindustrialization or urban regeneration, I do not just see abstract data points; I see the streets of Salford Quays, the revitalized textile mills of Ancoats, and the ongoing debates surrounding gentrification.</w:t>
      </w:r>
    </w:p>
    <w:p>
      <w:pPr>
        <w:pStyle w:val="BodyText"/>
      </w:pPr>
      <w:r>
        <w:t xml:space="preserve">The Economist is known for its pro-free-market stance, its skepticism of protectionism, and its advocacy for liberal social policies. For a long time, reading such perspectives felt somewhat alien to my local context. Manchester’s history is one of collective action, union strength, and municipal socialism. However, through continued reflection on the publication's content while living in United Kingdom Manchester I have come to appreciate the complexity of these economic arguments. The magazine often highlights the inefficiencies of state-led interventions that lead to stagnation. In Manchester, we see both sides of this coin: the successes of deregulation in attracting tech giants and foreign investment, contrasted with the struggles faced by communities left behind by rapid market shifts.</w:t>
      </w:r>
    </w:p>
    <w:p>
      <w:pPr>
        <w:pStyle w:val="BodyText"/>
      </w:pPr>
      <w:r>
        <w:t xml:space="preserve">Furthermore, the publication’s focus on human capital and innovation resonates strongly with Manchester’s current identity as a "second city" of knowledge. The articles discussing university-industry partnerships often mirror the initiatives I see locally at the University of Manchester and Manchester Metropolitan University. Reflecting on these pieces allows me to evaluate whether our local strategies are aligned with global best practices or if they are lagging behind. The Economist’s rigorous data-driven approach challenges me to look beyond anecdotal evidence in my own community and assess the true efficacy of local government policies on job creation and skill development.</w:t>
      </w:r>
    </w:p>
    <w:p>
      <w:pPr>
        <w:pStyle w:val="BodyText"/>
      </w:pPr>
      <w:r>
        <w:t xml:space="preserve">Another critical aspect of this reflection involves the tension between globalism and local identity. The Economist is a distinctly globalist publication, advocating for open borders for capital, goods, and increasingly, people. In contrast Manchester has had to navigate complex political landscapes regarding immigration and cultural integration. While I generally align with the free-market principles outlined in the magazine, living in United Kingdom Manchester forces me to confront the social cohesion challenges that pure economic models often overlook. I have learned to read between the lines of The Economist’s economic forecasts, acknowledging their logical rigor while simultaneously considering their limitations in addressing community-level social fractures.</w:t>
      </w:r>
    </w:p>
    <w:p>
      <w:pPr>
        <w:pStyle w:val="BodyText"/>
      </w:pPr>
      <w:r>
        <w:t xml:space="preserve">The style and tone of The Economist also offer a unique intellectual exercise for someone residing in Manchester. Written from a global perspective, often with a British sensibility but an international outlook, it serves as a bridge between the local and the global. It challenges me to elevate my discourse above local partisan politics and engage with broader macroeconomic trends. This has improved my own ability to articulate economic arguments in professional and academic settings within Manchester’s diverse workforce.</w:t>
      </w:r>
    </w:p>
    <w:p>
      <w:pPr>
        <w:pStyle w:val="BodyText"/>
      </w:pPr>
      <w:r>
        <w:t xml:space="preserve">Moreover, the publication’s coverage of environmental economics is increasingly relevant to Manchester. As a city grappling with air quality issues and the need for sustainable urban planning The Economist’s analyses of carbon pricing, green technology investments, and climate change mitigation strategies provide a framework for understanding local policy decisions. I find myself critically assessing whether the magazine’s proposed solutions are feasible in a mid-sized UK city or if they assume conditions present only in larger global metropolises.</w:t>
      </w:r>
    </w:p>
    <w:p>
      <w:pPr>
        <w:pStyle w:val="BodyText"/>
      </w:pPr>
      <w:r>
        <w:t xml:space="preserve">In conclusion, my engagement with The Economist while based in United Kingdom Manchester has been a profound exercise in comparative analysis. It has allowed me to test global theories against local realities, challenging both my understanding of the publication and my perception of my home city. I have learned that economic principles are not static; they must be adapted to fit specific historical, cultural, and geographic contexts. The Economist provides the theoretical scaffolding, but Manchester provides the structural reality. This duality has made me a more critical reader and a more informed citizen. As I continue to navigate the evolving economic landscape of North West England, I will rely on this global perspective not as an absolute truth, but as one crucial voice in a much broader conversation about how we build prosperous, equitable societies in the 21st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United Kingdom Manchester</dc:title>
  <dc:creator/>
  <dc:language>en</dc:language>
  <cp:keywords/>
  <dcterms:created xsi:type="dcterms:W3CDTF">2026-07-30T14:45:00Z</dcterms:created>
  <dcterms:modified xsi:type="dcterms:W3CDTF">2026-07-30T14:45:00Z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