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France,</w:t>
      </w:r>
      <w:r>
        <w:t xml:space="preserve"> </w:t>
      </w:r>
      <w:r>
        <w:t xml:space="preserve">Marseille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reflection paper explores the critical dimensions of HR management within the specific context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France Marseille</w:t>
        </w:r>
      </w:hyperlink>
      <w:r>
        <w:t xml:space="preserve">. It highlights how local regulations, cultural dynamics, and regional economic factors shape the responsibilities of this key executive role.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Human Resources Manager in France, Marseille</dc:title>
  <dc:creator/>
  <cp:keywords/>
  <dcterms:created xsi:type="dcterms:W3CDTF">2026-09-26T17:39:25Z</dcterms:created>
  <dcterms:modified xsi:type="dcterms:W3CDTF">2026-09-26T17:39:25Z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