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France,</w:t>
      </w:r>
      <w:r>
        <w:t xml:space="preserve"> </w:t>
      </w:r>
      <w:r>
        <w:t xml:space="preserve">Marseille</w:t>
      </w:r>
    </w:p>
    <w:p>
      <w:pPr>
        <w:pStyle w:val="FirstParagraph"/>
      </w:pPr>
      <w:r>
        <w:rPr>
          <w:bCs/>
          <w:b/>
        </w:rPr>
        <w:t xml:space="preserve">Note:</w:t>
      </w:r>
      <w:r>
        <w:t xml:space="preserve"> </w:t>
      </w:r>
      <w:r>
        <w:t xml:space="preserve">This reflection paper explores the critical dimensions of HR management within the specific context of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France Marseille</w:t>
        </w:r>
      </w:hyperlink>
      <w:r>
        <w:t xml:space="preserve">. It highlights how local regulations, cultural dynamics, and regional economic factors shape the responsibilities of this key executive role.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Human Resources Manager in France, Marseille</dc:title>
  <dc:creator/>
  <cp:keywords/>
  <dcterms:created xsi:type="dcterms:W3CDTF">2026-07-29T13:19:40Z</dcterms:created>
  <dcterms:modified xsi:type="dcterms:W3CDTF">2026-07-29T13:19:40Z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