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Indonesia</w:t>
      </w:r>
      <w:r>
        <w:t xml:space="preserve"> </w:t>
      </w:r>
      <w:r>
        <w:t xml:space="preserve">Jakarta</w:t>
      </w:r>
    </w:p>
    <w:bookmarkStart w:id="27" w:name="X3766bf95354430ace958b37143bbee36f16ada7"/>
    <w:p>
      <w:pPr>
        <w:pStyle w:val="Heading1"/>
      </w:pPr>
      <w:r>
        <w:t xml:space="preserve">Reflection Paper: The Role and Reality of a Lawyer in Indonesia Jakarta</w:t>
      </w:r>
    </w:p>
    <w:p>
      <w:pPr>
        <w:pStyle w:val="FirstParagraph"/>
      </w:pPr>
      <w:r>
        <w:rPr>
          <w:bCs/>
          <w:b/>
        </w:rPr>
        <w:t xml:space="preserve">Date:</w:t>
      </w:r>
      <w:r>
        <w:t xml:space="preserve"> </w:t>
      </w:r>
      <w:r>
        <w:t xml:space="preserve">October 24, 2023</w:t>
      </w:r>
      <w:r>
        <w:br/>
      </w:r>
      <w:r>
        <w:rPr>
          <w:bCs/>
          <w:b/>
        </w:rPr>
        <w:t xml:space="preserve">Title:</w:t>
      </w:r>
      <w:r>
        <w:rPr>
          <w:iCs/>
          <w:i/>
        </w:rPr>
        <w:t xml:space="preserve">Bridging Tradition and Modernity: A Reflection on the Legal Profession in Indonesia Jakarta</w:t>
      </w:r>
    </w:p>
    <w:bookmarkStart w:id="20" w:name="introduction"/>
    <w:p>
      <w:pPr>
        <w:pStyle w:val="Heading2"/>
      </w:pPr>
      <w:r>
        <w:t xml:space="preserve">Introduction</w:t>
      </w:r>
    </w:p>
    <w:p>
      <w:pPr>
        <w:pStyle w:val="FirstParagraph"/>
      </w:pPr>
      <w:r>
        <w:t xml:space="preserve">The study of law is not merely an academic pursuit; it is an immersion into the complex machinery of human society. Nowhere is this complexity more palpable, more vibrant, and often more chaotic than in</w:t>
      </w:r>
      <w:r>
        <w:t xml:space="preserve"> </w:t>
      </w:r>
      <w:r>
        <w:rPr>
          <w:bCs/>
          <w:b/>
        </w:rPr>
        <w:t xml:space="preserve">Indonesia Jakarta</w:t>
      </w:r>
      <w:r>
        <w:t xml:space="preserve">. As the capital city and the economic heart of Indonesia, Jakarta serves as a microcosm of the nation’s diverse legal landscape. It is here that ancient customs (*adat*) collide with rigid statutory laws derived from colonial Dutch heritage and modern Islamic principles. This reflection paper seeks to explore the multifaceted role of a</w:t>
      </w:r>
      <w:r>
        <w:t xml:space="preserve"> </w:t>
      </w:r>
      <w:r>
        <w:rPr>
          <w:bCs/>
          <w:b/>
        </w:rPr>
        <w:t xml:space="preserve">Lawyer</w:t>
      </w:r>
      <w:r>
        <w:t xml:space="preserve"> </w:t>
      </w:r>
      <w:r>
        <w:t xml:space="preserve">within this specific jurisdiction, examining the challenges, ethical responsibilities, and societal expectations placed upon legal practitioners in one of Southeast Asia’s most dynamic megacities.</w:t>
      </w:r>
    </w:p>
    <w:bookmarkEnd w:id="20"/>
    <w:bookmarkStart w:id="21" w:name="Xc313023e693c81fe2633ad0b10a61fd1ba74ae9"/>
    <w:p>
      <w:pPr>
        <w:pStyle w:val="Heading2"/>
      </w:pPr>
      <w:r>
        <w:t xml:space="preserve">The Unique Legal Landscape of Indonesia Jakarta</w:t>
      </w:r>
    </w:p>
    <w:p>
      <w:pPr>
        <w:pStyle w:val="FirstParagraph"/>
      </w:pPr>
      <w:r>
        <w:t xml:space="preserve">To understand the</w:t>
      </w:r>
      <w:r>
        <w:t xml:space="preserve"> </w:t>
      </w:r>
      <w:r>
        <w:rPr>
          <w:bCs/>
          <w:b/>
        </w:rPr>
        <w:t xml:space="preserve">Lawyer</w:t>
      </w:r>
      <w:r>
        <w:t xml:space="preserve">, one must first understand the environment in which they practice. The legal system in Indonesia is a pluralistic mix, largely influenced by Roman-Dutch civil law, customary law (*Hukum Adat*), and Islamic law (particularly in family and religious matters for Muslims). In</w:t>
      </w:r>
      <w:r>
        <w:t xml:space="preserve"> </w:t>
      </w:r>
      <w:r>
        <w:rPr>
          <w:bCs/>
          <w:b/>
        </w:rPr>
        <w:t xml:space="preserve">Indonesia Jakarta</w:t>
      </w:r>
      <w:r>
        <w:t xml:space="preserve">, this plurality is visible every day. A corporate dispute involving foreign investment may be resolved through arbitration under international standards, while a neighboring land dispute might be settled through village elders applying traditional norms.</w:t>
      </w:r>
    </w:p>
    <w:p>
      <w:pPr>
        <w:pStyle w:val="BodyText"/>
      </w:pPr>
      <w:r>
        <w:t xml:space="preserve">Jakarta, as the central hub, attracts legal cases from across the archipelago. The density of courts in</w:t>
      </w:r>
      <w:r>
        <w:t xml:space="preserve"> </w:t>
      </w:r>
      <w:r>
        <w:rPr>
          <w:bCs/>
          <w:b/>
        </w:rPr>
        <w:t xml:space="preserve">Indonesia Jakarta</w:t>
      </w:r>
      <w:r>
        <w:t xml:space="preserve">, particularly the Supreme Court and various district courts like Jakarta Pusat and Jakarta Selatan, creates a high-pressure environment for</w:t>
      </w:r>
      <w:r>
        <w:t xml:space="preserve"> </w:t>
      </w:r>
      <w:r>
        <w:rPr>
          <w:bCs/>
          <w:b/>
        </w:rPr>
        <w:t xml:space="preserve">Lawyer</w:t>
      </w:r>
      <w:r>
        <w:t xml:space="preserve">s. The sheer volume of litigation means that legal practitioners must be not only knowledgeable but also incredibly efficient and strategic. The urban sprawl of the city mirrors the sprawling nature of its bureaucracy, requiring</w:t>
      </w:r>
      <w:r>
        <w:t xml:space="preserve"> </w:t>
      </w:r>
      <w:r>
        <w:rPr>
          <w:bCs/>
          <w:b/>
        </w:rPr>
        <w:t xml:space="preserve">Lawyer</w:t>
      </w:r>
      <w:r>
        <w:t xml:space="preserve">s to navigate endless administrative hurdles before they can even access substantive justice.</w:t>
      </w:r>
    </w:p>
    <w:bookmarkEnd w:id="21"/>
    <w:bookmarkStart w:id="22" w:name="X5f3bb2c37ff937ec183eaa770ea3055a1affc6b"/>
    <w:p>
      <w:pPr>
        <w:pStyle w:val="Heading2"/>
      </w:pPr>
      <w:r>
        <w:t xml:space="preserve">The Dual Role: Advocate and Social Guardian</w:t>
      </w:r>
    </w:p>
    <w:p>
      <w:pPr>
        <w:pStyle w:val="FirstParagraph"/>
      </w:pPr>
      <w:r>
        <w:t xml:space="preserve">A primary reflection on being a</w:t>
      </w:r>
      <w:r>
        <w:t xml:space="preserve"> </w:t>
      </w:r>
      <w:r>
        <w:rPr>
          <w:bCs/>
          <w:b/>
        </w:rPr>
        <w:t xml:space="preserve">Lawyer</w:t>
      </w:r>
      <w:r>
        <w:t xml:space="preserve"> </w:t>
      </w:r>
      <w:r>
        <w:t xml:space="preserve">in this context is the recognition that the role extends far beyond courtroom advocacy. In</w:t>
      </w:r>
      <w:r>
        <w:t xml:space="preserve"> </w:t>
      </w:r>
      <w:r>
        <w:rPr>
          <w:bCs/>
          <w:b/>
        </w:rPr>
        <w:t xml:space="preserve">Indonesia Jakarta</w:t>
      </w:r>
      <w:r>
        <w:t xml:space="preserve">, a</w:t>
      </w:r>
      <w:r>
        <w:t xml:space="preserve"> </w:t>
      </w:r>
      <w:r>
        <w:rPr>
          <w:bCs/>
          <w:b/>
        </w:rPr>
        <w:t xml:space="preserve">Lawyer</w:t>
      </w:r>
      <w:r>
        <w:t xml:space="preserve">serves as a critical intermediary between the state and its citizens. For many Indonesians, especially those from lower-income demographics who cannot afford private counsel, the legal aid (*LBH* or Lembaga Bantuan Hukum) sector is vital. Here, the concept of justice is often tested against economic disparity.</w:t>
      </w:r>
    </w:p>
    <w:p>
      <w:pPr>
        <w:pStyle w:val="BodyText"/>
      </w:pPr>
      <w:r>
        <w:t xml:space="preserve">I reflect on how a</w:t>
      </w:r>
      <w:r>
        <w:t xml:space="preserve"> </w:t>
      </w:r>
      <w:r>
        <w:rPr>
          <w:bCs/>
          <w:b/>
        </w:rPr>
        <w:t xml:space="preserve">Lawyer</w:t>
      </w:r>
      <w:r>
        <w:t xml:space="preserve"> </w:t>
      </w:r>
      <w:r>
        <w:t xml:space="preserve">in Jakarta must balance zealous advocacy with social responsibility. The image of the</w:t>
      </w:r>
      <w:r>
        <w:t xml:space="preserve"> </w:t>
      </w:r>
      <w:r>
        <w:rPr>
          <w:bCs/>
          <w:b/>
        </w:rPr>
        <w:t xml:space="preserve">Lawyer</w:t>
      </w:r>
      <w:r>
        <w:t xml:space="preserve">s sometimes portrayed as purely profit-driven or manipulative is a stereotype that ignores the profound commitment many practitioners show to pro bono work. In communities scattered across the vast districts of</w:t>
      </w:r>
      <w:r>
        <w:t xml:space="preserve"> </w:t>
      </w:r>
      <w:r>
        <w:rPr>
          <w:bCs/>
          <w:b/>
        </w:rPr>
        <w:t xml:space="preserve">Indonesia Jakarta</w:t>
      </w:r>
      <w:r>
        <w:t xml:space="preserve">, from Kampung Melayu to Penjaringan,</w:t>
      </w:r>
    </w:p>
    <w:p>
      <w:pPr>
        <w:pStyle w:val="BodyText"/>
      </w:pPr>
      <w:r>
        <w:t xml:space="preserve">Lawyers are often the only shield against arbitrary eviction, labor exploitation, and police misconduct. This aspect of the profession demands a level of moral courage that goes beyond technical legal knowledge.</w:t>
      </w:r>
    </w:p>
    <w:bookmarkEnd w:id="22"/>
    <w:bookmarkStart w:id="23" w:name="X319f0613404a32ed016b7986d8b576b0c754e9f"/>
    <w:p>
      <w:pPr>
        <w:pStyle w:val="Heading2"/>
      </w:pPr>
      <w:r>
        <w:t xml:space="preserve">Ethical Challenges and Professional Integrity</w:t>
      </w:r>
    </w:p>
    <w:p>
      <w:pPr>
        <w:pStyle w:val="FirstParagraph"/>
      </w:pPr>
      <w:r>
        <w:t xml:space="preserve">One cannot discuss the legal profession in</w:t>
      </w:r>
      <w:r>
        <w:t xml:space="preserve"> </w:t>
      </w:r>
      <w:r>
        <w:rPr>
          <w:bCs/>
          <w:b/>
        </w:rPr>
        <w:t xml:space="preserve">Indonesia Jakarta</w:t>
      </w:r>
      <w:r>
        <w:rPr>
          <w:iCs/>
          <w:i/>
        </w:rPr>
        <w:t xml:space="preserve">,</w:t>
      </w:r>
      <w:r>
        <w:t xml:space="preserve"> </w:t>
      </w:r>
      <w:r>
        <w:t xml:space="preserve">without addressing the pervasive challenges of corruption and bribery. While Indonesia has made significant strides in recent years through institutions like the Corruption Eradication Commission (KPK), the shadow of *sopran* (gift-giving) culture still lingers in certain aspects of legal practice. For a</w:t>
      </w:r>
      <w:r>
        <w:t xml:space="preserve"> </w:t>
      </w:r>
      <w:r>
        <w:rPr>
          <w:bCs/>
          <w:b/>
        </w:rPr>
        <w:t xml:space="preserve">Lawyer</w:t>
      </w:r>
      <w:r>
        <w:t xml:space="preserve">, maintaining integrity is both a professional obligation and a personal struggle.</w:t>
      </w:r>
    </w:p>
    <w:p>
      <w:pPr>
        <w:pStyle w:val="BodyText"/>
      </w:pPr>
      <w:r>
        <w:t xml:space="preserve">In my reflection, I consider how a</w:t>
      </w:r>
      <w:r>
        <w:t xml:space="preserve"> </w:t>
      </w:r>
      <w:r>
        <w:rPr>
          <w:bCs/>
          <w:b/>
        </w:rPr>
        <w:t xml:space="preserve">Lawyer</w:t>
      </w:r>
      <w:r>
        <w:t xml:space="preserve">maintains ethical standards when the system itself may incentivize expedience through illicit means. The pressure to deliver results in</w:t>
      </w:r>
      <w:r>
        <w:t xml:space="preserve"> </w:t>
      </w:r>
      <w:r>
        <w:rPr>
          <w:bCs/>
          <w:b/>
        </w:rPr>
        <w:t xml:space="preserve">Indonesia JakartaLawyer</w:t>
      </w:r>
      <w:r>
        <w:rPr>
          <w:iCs/>
          <w:i/>
        </w:rPr>
        <w:t xml:space="preserve">,</w:t>
      </w:r>
      <w:r>
        <w:t xml:space="preserve">particularly those operating in the globalized sectors of Jakarta, must adhere to international ethical standards while respecting local cultural nuances. This balancing act requires a deep internal compass and a commitment to the rule of law over personal gain.</w:t>
      </w:r>
    </w:p>
    <w:bookmarkEnd w:id="23"/>
    <w:bookmarkStart w:id="24" w:name="X2d37749407fa31678a0bef68fff40598bff65d0"/>
    <w:p>
      <w:pPr>
        <w:pStyle w:val="Heading2"/>
      </w:pPr>
      <w:r>
        <w:t xml:space="preserve">The Impact of Technology and Modernization</w:t>
      </w:r>
    </w:p>
    <w:p>
      <w:pPr>
        <w:pStyle w:val="FirstParagraph"/>
      </w:pPr>
      <w:r>
        <w:t xml:space="preserve">The digitization of courts in</w:t>
      </w:r>
      <w:r>
        <w:t xml:space="preserve"> </w:t>
      </w:r>
      <w:r>
        <w:rPr>
          <w:bCs/>
          <w:b/>
        </w:rPr>
        <w:t xml:space="preserve">Indonesia Jakarta</w:t>
      </w:r>
      <w:r>
        <w:t xml:space="preserve">, known as *e-Court*, has revolutionized how a</w:t>
      </w:r>
    </w:p>
    <w:p>
      <w:pPr>
        <w:pStyle w:val="BodyText"/>
      </w:pPr>
      <w:r>
        <w:t xml:space="preserve">Lawyer</w:t>
      </w:r>
      <w:r>
        <w:rPr>
          <w:iCs/>
          <w:i/>
        </w:rPr>
        <w:t xml:space="preserve">,</w:t>
      </w:r>
      <w:r>
        <w:t xml:space="preserve">practices law. Cases can now be filed, mediated, and even argued digitally. This shift has democratized access to justice by reducing the need for physical presence in congested court buildings. For the</w:t>
      </w:r>
      <w:r>
        <w:t xml:space="preserve"> </w:t>
      </w:r>
      <w:r>
        <w:rPr>
          <w:bCs/>
          <w:b/>
        </w:rPr>
        <w:t xml:space="preserve">Lawyer</w:t>
      </w:r>
      <w:r>
        <w:t xml:space="preserve">, this means adapting to new technologies quickly; those who fail to embrace digital tools risk obsolescence.</w:t>
      </w:r>
    </w:p>
    <w:p>
      <w:pPr>
        <w:pStyle w:val="BodyText"/>
      </w:pPr>
      <w:r>
        <w:t xml:space="preserve">This technological integration also changes the nature of client-lawyer relationships. Clients in</w:t>
      </w:r>
    </w:p>
    <w:p>
      <w:pPr>
        <w:pStyle w:val="BodyText"/>
      </w:pPr>
      <w:r>
        <w:t xml:space="preserve">Indonesia Jakarta</w:t>
      </w:r>
      <w:r>
        <w:rPr>
          <w:iCs/>
          <w:i/>
        </w:rPr>
        <w:t xml:space="preserve">,</w:t>
      </w:r>
      <w:r>
        <w:t xml:space="preserve">increasingly connected and informed via social media, demand greater transparency and faster communication. A</w:t>
      </w:r>
      <w:r>
        <w:t xml:space="preserve"> </w:t>
      </w:r>
      <w:r>
        <w:rPr>
          <w:bCs/>
          <w:b/>
        </w:rPr>
        <w:t xml:space="preserve">Lawyer</w:t>
      </w:r>
      <w:r>
        <w:t xml:space="preserve">must now be a digital communicator as well as a legal strategist. This evolution reflects the broader modernization of Indonesian society, where traditional authority is increasingly questioned in favor of data-driven evidence.</w:t>
      </w:r>
    </w:p>
    <w:bookmarkEnd w:id="24"/>
    <w:bookmarkStart w:id="25" w:name="Xf9254ce90c15c86cd1823d7fb8441c46e4f513b"/>
    <w:p>
      <w:pPr>
        <w:pStyle w:val="Heading2"/>
      </w:pPr>
      <w:r>
        <w:t xml:space="preserve">Cultural Nuances: *Gotong Royong* in Legal Practice</w:t>
      </w:r>
    </w:p>
    <w:p>
      <w:pPr>
        <w:pStyle w:val="FirstParagraph"/>
      </w:pPr>
      <w:r>
        <w:t xml:space="preserve">Perhaps the most distinct feature of being a</w:t>
      </w:r>
      <w:r>
        <w:t xml:space="preserve"> </w:t>
      </w:r>
      <w:r>
        <w:rPr>
          <w:bCs/>
          <w:b/>
        </w:rPr>
        <w:t xml:space="preserve">Lawyer</w:t>
      </w:r>
      <w:r>
        <w:rPr>
          <w:iCs/>
          <w:i/>
        </w:rPr>
        <w:t xml:space="preserve">,</w:t>
      </w:r>
      <w:r>
        <w:t xml:space="preserve">In</w:t>
      </w:r>
      <w:r>
        <w:t xml:space="preserve"> </w:t>
      </w:r>
      <w:r>
        <w:rPr>
          <w:bCs/>
          <w:b/>
        </w:rPr>
        <w:t xml:space="preserve">Indonesia Jakarta</w:t>
      </w:r>
      <w:r>
        <w:t xml:space="preserve">, is the cultural value of *gotong royong* (mutual assistance). Legal proceedings here are not always adversarial in the Western sense; mediation and consensus-building (*musyawarah untuk mufakat*) are highly valued. A skilled</w:t>
      </w:r>
    </w:p>
    <w:p>
      <w:pPr>
        <w:pStyle w:val="BodyText"/>
      </w:pPr>
      <w:r>
        <w:t xml:space="preserve">Lawyer</w:t>
      </w:r>
      <w:r>
        <w:rPr>
          <w:iCs/>
          <w:i/>
        </w:rPr>
        <w:t xml:space="preserve">,</w:t>
      </w:r>
      <w:r>
        <w:t xml:space="preserve">understands that winning a case is not always the ultimate goal; sometimes, preserving social harmony within a community or family is more important.</w:t>
      </w:r>
    </w:p>
    <w:p>
      <w:pPr>
        <w:pStyle w:val="BodyText"/>
      </w:pPr>
      <w:r>
        <w:t xml:space="preserve">This cultural insight forces me to reflect on the definition of success. In</w:t>
      </w:r>
      <w:r>
        <w:t xml:space="preserve"> </w:t>
      </w:r>
      <w:r>
        <w:rPr>
          <w:bCs/>
          <w:b/>
        </w:rPr>
        <w:t xml:space="preserve">Indonesia Jakarta</w:t>
      </w:r>
      <w:r>
        <w:t xml:space="preserve">, a successful outcome might mean a settlement that allows parties to continue living side-by-side without enmity, rather than a judicial decree that leaves one party bitter and impoverished. Therefore, the</w:t>
      </w:r>
    </w:p>
    <w:p>
      <w:pPr>
        <w:pStyle w:val="BodyText"/>
      </w:pPr>
      <w:r>
        <w:t xml:space="preserve">Lawyer</w:t>
      </w:r>
      <w:r>
        <w:rPr>
          <w:iCs/>
          <w:i/>
        </w:rPr>
        <w:t xml:space="preserve">,</w:t>
      </w:r>
      <w:r>
        <w:t xml:space="preserve">must possess high emotional intelligence and cultural sensitivity, skills that are often as crucial as knowledge of the Civil Code.</w:t>
      </w:r>
    </w:p>
    <w:bookmarkEnd w:id="25"/>
    <w:bookmarkStart w:id="26" w:name="conclusion"/>
    <w:p>
      <w:pPr>
        <w:pStyle w:val="Heading2"/>
      </w:pPr>
      <w:r>
        <w:t xml:space="preserve">Conclusion</w:t>
      </w:r>
    </w:p>
    <w:p>
      <w:pPr>
        <w:pStyle w:val="FirstParagraph"/>
      </w:pPr>
      <w:r>
        <w:t xml:space="preserve">In conclusion, the role of a</w:t>
      </w:r>
    </w:p>
    <w:p>
      <w:pPr>
        <w:pStyle w:val="BodyText"/>
      </w:pPr>
      <w:r>
        <w:t xml:space="preserve">LawyerIndonesia Jakarta, from bureaucratic inertia to economic inequality, test the resolve of every practitioner. Yet, it is also a field ripe with opportunity for those willing to serve as agents of change.</w:t>
      </w:r>
    </w:p>
    <w:p>
      <w:pPr>
        <w:pStyle w:val="BodyText"/>
      </w:pPr>
      <w:r>
        <w:t xml:space="preserve">Reflecting on this journey, it becomes clear that being a</w:t>
      </w:r>
    </w:p>
    <w:p>
      <w:pPr>
        <w:pStyle w:val="BodyText"/>
      </w:pPr>
      <w:r>
        <w:t xml:space="preserve">LawyerLawyer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Lawyer in Indonesia Jakarta</dc:title>
  <dc:creator/>
  <dc:language>en</dc:language>
  <cp:keywords/>
  <dcterms:created xsi:type="dcterms:W3CDTF">2026-07-29T17:00:19Z</dcterms:created>
  <dcterms:modified xsi:type="dcterms:W3CDTF">2026-07-29T17:00:19Z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