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1" w:name="X9c962d1225bbfc13029494f26e723075618f5da"/>
    <w:p>
      <w:pPr>
        <w:pStyle w:val="Heading1"/>
      </w:pPr>
      <w:r>
        <w:t xml:space="preserve">The Mathematician’s Role and Reflection in Australia Brisbane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&gt;&gt;</w:t>
      </w:r>
    </w:p>
    <w:bookmarkStart w:id="20" w:name="X548f820a80e6045b5b44d2163429f36cfdd2d90"/>
    <w:p>
      <w:pPr>
        <w:pStyle w:val="Heading1"/>
      </w:pPr>
      <w:r>
        <w:t xml:space="preserve">The Mathematician’s Role and Reflection in Australia Brisbane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bCs/>
          <w:b/>
        </w:rPr>
        <w:t xml:space="preserve">Date: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Mathematician in the Context of Australia Brisbane</dc:title>
  <dc:creator/>
  <dc:language>en</dc:language>
  <cp:keywords/>
  <dcterms:created xsi:type="dcterms:W3CDTF">2026-09-25T07:52:47Z</dcterms:created>
  <dcterms:modified xsi:type="dcterms:W3CDTF">2026-09-25T07:52:47Z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