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Reflection</w:t>
      </w:r>
      <w:r>
        <w:t xml:space="preserve"> </w:t>
      </w:r>
      <w:r>
        <w:t xml:space="preserve">on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Occupational</w:t>
      </w:r>
      <w:r>
        <w:t xml:space="preserve"> </w:t>
      </w:r>
      <w:r>
        <w:t xml:space="preserve">Therapists</w:t>
      </w:r>
      <w:r>
        <w:t xml:space="preserve"> </w:t>
      </w:r>
      <w:r>
        <w:t xml:space="preserve">in</w:t>
      </w:r>
      <w:r>
        <w:t xml:space="preserve"> </w:t>
      </w:r>
      <w:r>
        <w:t xml:space="preserve">Myanmar</w:t>
      </w:r>
      <w:r>
        <w:t xml:space="preserve"> </w:t>
      </w:r>
      <w:r>
        <w:t xml:space="preserve">Yangon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Reflection on the Role of Occupational Therapists in Myanmar Yangon</dc:title>
  <dc:creator/>
  <dc:language>en</dc:language>
  <cp:keywords/>
  <dcterms:created xsi:type="dcterms:W3CDTF">2026-07-29T20:25:24Z</dcterms:created>
  <dcterms:modified xsi:type="dcterms:W3CDTF">2026-07-29T20:25:24Z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