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"Reflections on the Oceanographer in the Context of Spain Valencia"</w:t>
      </w:r>
    </w:p>
    <w:bookmarkStart w:id="20" w:name="X421a62ec6ba30abfa7185be2e1f51ad3584e35e"/>
    <w:p>
      <w:pPr>
        <w:pStyle w:val="Heading1"/>
      </w:pPr>
      <w:r>
        <w:t xml:space="preserve">The Interconnected Depths: An Oceanographer's Perspective in Spain Valencia</w:t>
      </w:r>
    </w:p>
    <w:p>
      <w:pPr>
        <w:pStyle w:val="FirstParagraph"/>
      </w:pPr>
      <w:r>
        <w:t xml:space="preserve">To step into the role of an oceanographer within the vibrant and historically rich setting of Spain Valencia is not merely a professional relocation; it is an immersion into a complex ecological and cultural narrative. The Mediterranean Sea, which serves as the backdrop for this city, is often mistaken for a simple recreational space by tourists and locals alike. However, through the lens of scientific inquiry and reflection, it reveals itself as a dynamic laboratory of change. This reflection paper explores the multifaceted responsibilities of an oceanographer in Spain Valencia, examining how marine science intersects with local heritage, environmental urgency,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Oceanographer in the Context of Spain Valencia</dc:title>
  <dc:creator/>
  <dc:language>en</dc:language>
  <cp:keywords/>
  <dcterms:created xsi:type="dcterms:W3CDTF">2026-07-29T13:14:52Z</dcterms:created>
  <dcterms:modified xsi:type="dcterms:W3CDTF">2026-07-29T13:14:52Z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