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Navigating</w:t>
      </w:r>
      <w:r>
        <w:t xml:space="preserve"> </w:t>
      </w:r>
      <w:r>
        <w:t xml:space="preserve">Academic</w:t>
      </w:r>
      <w:r>
        <w:t xml:space="preserve"> </w:t>
      </w:r>
      <w:r>
        <w:t xml:space="preserve">Life</w:t>
      </w:r>
      <w:r>
        <w:t xml:space="preserve"> </w:t>
      </w:r>
      <w:r>
        <w:t xml:space="preserve">in</w:t>
      </w:r>
      <w:r>
        <w:t xml:space="preserve"> </w:t>
      </w:r>
      <w:r>
        <w:t xml:space="preserve">Canada</w:t>
      </w:r>
      <w:r>
        <w:t xml:space="preserve"> </w:t>
      </w:r>
      <w:r>
        <w:t xml:space="preserve">Vancouver</w:t>
      </w:r>
    </w:p>
    <w:bookmarkStart w:id="25" w:name="X1c6ae391b86692b0bb7e61643e8ebd39646a582"/>
    <w:p>
      <w:pPr>
        <w:pStyle w:val="Heading1"/>
      </w:pPr>
      <w:r>
        <w:t xml:space="preserve">Bridging Worlds: A Reflection on the Professor in the Context of Canada Vancouver</w:t>
      </w:r>
    </w:p>
    <w:p>
      <w:pPr>
        <w:pStyle w:val="FirstParagraph"/>
      </w:pPr>
      <w:r>
        <w:t xml:space="preserve">The academic landscape is never static; it is a living, breathing ecosystem shaped by culture, geography, and human interaction. Nowhere is this more evident than in the specific context of teaching and learning within</w:t>
      </w:r>
      <w:r>
        <w:t xml:space="preserve"> </w:t>
      </w:r>
      <w:r>
        <w:rPr>
          <w:bCs/>
          <w:b/>
        </w:rPr>
        <w:t xml:space="preserve">Canada Vancouver</w:t>
      </w:r>
      <w:r>
        <w:t xml:space="preserve">. As I reflect on my experiences and observations regarding the role of the instructor in this vibrant Pacific Northwest metropolis, it becomes clear that the modern academic environment demands a nuanced understanding of pedagogical responsibility. This reflection serves to explore how a dedicated</w:t>
      </w:r>
      <w:r>
        <w:t xml:space="preserve"> </w:t>
      </w:r>
      <w:r>
        <w:rPr>
          <w:bCs/>
          <w:b/>
        </w:rPr>
        <w:t xml:space="preserve">Professor</w:t>
      </w:r>
      <w:r>
        <w:t xml:space="preserve"> </w:t>
      </w:r>
      <w:r>
        <w:t xml:space="preserve">functions not merely as a dispenser of knowledge, but as a mentor, cultural bridge-builder, and critical thinker within the unique socio-economic fabric of</w:t>
      </w:r>
      <w:r>
        <w:t xml:space="preserve"> </w:t>
      </w:r>
      <w:r>
        <w:rPr>
          <w:bCs/>
          <w:b/>
        </w:rPr>
        <w:t xml:space="preserve">Canada Vancouver</w:t>
      </w:r>
      <w:r>
        <w:t xml:space="preserve">.</w:t>
      </w:r>
    </w:p>
    <w:bookmarkStart w:id="20" w:name="Xeac8bd68168eef16b29cddb64b8d3a1ef66493b"/>
    <w:p>
      <w:pPr>
        <w:pStyle w:val="Heading2"/>
      </w:pPr>
      <w:r>
        <w:t xml:space="preserve">The Unique Pedagogical Context of Canada Vancouver</w:t>
      </w:r>
    </w:p>
    <w:p>
      <w:pPr>
        <w:pStyle w:val="FirstParagraph"/>
      </w:pPr>
      <w:r>
        <w:t xml:space="preserve">To understand the weight and responsibility carried by any</w:t>
      </w:r>
      <w:r>
        <w:t xml:space="preserve"> </w:t>
      </w:r>
      <w:r>
        <w:rPr>
          <w:bCs/>
          <w:b/>
        </w:rPr>
        <w:t xml:space="preserve">Professor</w:t>
      </w:r>
      <w:r>
        <w:t xml:space="preserve">, one must first appreciate the distinct character of their environment.</w:t>
      </w:r>
      <w:r>
        <w:t xml:space="preserve"> </w:t>
      </w:r>
      <w:r>
        <w:rPr>
          <w:bCs/>
          <w:b/>
        </w:rPr>
        <w:t xml:space="preserve">Canada Vancouver</w:t>
      </w:r>
      <w:r>
        <w:t xml:space="preserve">, with its breathtaking natural backdrop of mountains and ocean, is home to a diverse, multicultural student body that represents nearly every corner of the globe. This diversity is not incidental; it is foundational to the educational experience here. A</w:t>
      </w:r>
      <w:r>
        <w:t xml:space="preserve"> </w:t>
      </w:r>
      <w:r>
        <w:rPr>
          <w:bCs/>
          <w:b/>
        </w:rPr>
        <w:t xml:space="preserve">Professor</w:t>
      </w:r>
      <w:r>
        <w:t xml:space="preserve"> </w:t>
      </w:r>
      <w:r>
        <w:t xml:space="preserve">in this region cannot rely on a monolithic approach to teaching. Instead, they must cultivate an inclusive classroom environment where varied perspectives are not only tolerated but celebrated and critically examined.</w:t>
      </w:r>
    </w:p>
    <w:p>
      <w:pPr>
        <w:pStyle w:val="BodyText"/>
      </w:pPr>
      <w:r>
        <w:t xml:space="preserve">The city’s identity as a hub for international trade, technology, and environmental sustainability influences the curriculum significantly. A</w:t>
      </w:r>
      <w:r>
        <w:t xml:space="preserve"> </w:t>
      </w:r>
      <w:r>
        <w:rPr>
          <w:bCs/>
          <w:b/>
        </w:rPr>
        <w:t xml:space="preserve">Professor</w:t>
      </w:r>
      <w:r>
        <w:t xml:space="preserve"> </w:t>
      </w:r>
      <w:r>
        <w:t xml:space="preserve">teaching business, engineering, or environmental science in</w:t>
      </w:r>
      <w:r>
        <w:t xml:space="preserve"> </w:t>
      </w:r>
      <w:r>
        <w:rPr>
          <w:bCs/>
          <w:b/>
        </w:rPr>
        <w:t xml:space="preserve">Canada Vancouver</w:t>
      </w:r>
      <w:r>
        <w:t xml:space="preserve"> </w:t>
      </w:r>
      <w:r>
        <w:t xml:space="preserve">is inevitably tasked with connecting theoretical frameworks to real-world applications that are immediately visible outside the lecture hall. The reflection on this role reveals that academic rigor must be balanced with relevance. Students here are often highly motivated by global citizenship and practical impact, requiring instructors to adapt their methods to foster both intellectual depth and societal awareness.</w:t>
      </w:r>
    </w:p>
    <w:bookmarkEnd w:id="20"/>
    <w:bookmarkStart w:id="21" w:name="the-professor-as-a-mentor-and-guide"/>
    <w:p>
      <w:pPr>
        <w:pStyle w:val="Heading2"/>
      </w:pPr>
      <w:r>
        <w:t xml:space="preserve">The Professor as a Mentor and Guide</w:t>
      </w:r>
    </w:p>
    <w:p>
      <w:pPr>
        <w:pStyle w:val="FirstParagraph"/>
      </w:pPr>
      <w:r>
        <w:t xml:space="preserve">Beyond the transmission of facts, the role of the</w:t>
      </w:r>
      <w:r>
        <w:t xml:space="preserve"> </w:t>
      </w:r>
      <w:r>
        <w:rPr>
          <w:bCs/>
          <w:b/>
        </w:rPr>
        <w:t xml:space="preserve">Professor</w:t>
      </w:r>
      <w:r>
        <w:t xml:space="preserve"> </w:t>
      </w:r>
      <w:r>
        <w:t xml:space="preserve">extends deeply into mentorship. In the bustling academic centers of</w:t>
      </w:r>
      <w:r>
        <w:t xml:space="preserve"> </w:t>
      </w:r>
      <w:r>
        <w:rPr>
          <w:bCs/>
          <w:b/>
        </w:rPr>
        <w:t xml:space="preserve">Canada Vancouver</w:t>
      </w:r>
      <w:r>
        <w:t xml:space="preserve">, students often face unique pressures. They may be navigating life away from home, dealing with high costs of living, or balancing complex cultural identities within a multicultural framework. A reflective</w:t>
      </w:r>
      <w:r>
        <w:t xml:space="preserve"> </w:t>
      </w:r>
      <w:r>
        <w:rPr>
          <w:bCs/>
          <w:b/>
        </w:rPr>
        <w:t xml:space="preserve">Professor</w:t>
      </w:r>
      <w:r>
        <w:t xml:space="preserve"> </w:t>
      </w:r>
      <w:r>
        <w:t xml:space="preserve">recognizes these challenges and acts as a stabilizing force in their students' lives.</w:t>
      </w:r>
    </w:p>
    <w:p>
      <w:pPr>
        <w:pStyle w:val="BodyText"/>
      </w:pPr>
      <w:r>
        <w:t xml:space="preserve">This mentorship goes beyond career advice. It involves guiding students through the ethical complexities of their chosen fields. In an era where technology outpaces regulation, and global inequalities are starkly visible, the</w:t>
      </w:r>
      <w:r>
        <w:t xml:space="preserve"> </w:t>
      </w:r>
      <w:r>
        <w:rPr>
          <w:bCs/>
          <w:b/>
        </w:rPr>
        <w:t xml:space="preserve">Professor</w:t>
      </w:r>
      <w:r>
        <w:t xml:space="preserve"> </w:t>
      </w:r>
      <w:r>
        <w:t xml:space="preserve">must encourage critical reflection on the moral implications of professional practice. For instance, a computer science</w:t>
      </w:r>
      <w:r>
        <w:t xml:space="preserve"> </w:t>
      </w:r>
      <w:r>
        <w:rPr>
          <w:bCs/>
          <w:b/>
        </w:rPr>
        <w:t xml:space="preserve">Professor</w:t>
      </w:r>
      <w:r>
        <w:t xml:space="preserve"> </w:t>
      </w:r>
      <w:r>
        <w:t xml:space="preserve">in</w:t>
      </w:r>
    </w:p>
    <w:p>
      <w:pPr>
        <w:pStyle w:val="BodyText"/>
      </w:pPr>
      <w:r>
        <w:t xml:space="preserve">Canada Vancouver</w:t>
      </w:r>
    </w:p>
    <w:p>
      <w:pPr>
        <w:pStyle w:val="BodyText"/>
      </w:pPr>
      <w:r>
        <w:t xml:space="preserve">, reflecting on issues of data privacy and AI ethics, does more than teach coding; they shape future citizens who are aware of their societal footprint. This holistic approach to education is what distinguishes a mere lecturer from a true academic leader.</w:t>
      </w:r>
    </w:p>
    <w:bookmarkEnd w:id="21"/>
    <w:bookmarkStart w:id="22" w:name="cultural-competence-and-inclusivity"/>
    <w:p>
      <w:pPr>
        <w:pStyle w:val="Heading2"/>
      </w:pPr>
      <w:r>
        <w:t xml:space="preserve">Cultural Competence and Inclusivity</w:t>
      </w:r>
    </w:p>
    <w:p>
      <w:pPr>
        <w:pStyle w:val="FirstParagraph"/>
      </w:pPr>
      <w:r>
        <w:t xml:space="preserve">The demographic reality of</w:t>
      </w:r>
      <w:r>
        <w:t xml:space="preserve"> </w:t>
      </w:r>
      <w:r>
        <w:rPr>
          <w:bCs/>
          <w:b/>
        </w:rPr>
        <w:t xml:space="preserve">Canada Vancouver</w:t>
      </w:r>
      <w:r>
        <w:t xml:space="preserve"> </w:t>
      </w:r>
      <w:r>
        <w:t xml:space="preserve">demands that every</w:t>
      </w:r>
      <w:r>
        <w:t xml:space="preserve"> </w:t>
      </w:r>
      <w:r>
        <w:rPr>
          <w:bCs/>
          <w:b/>
        </w:rPr>
        <w:t xml:space="preserve">Professor</w:t>
      </w:r>
      <w:r>
        <w:t xml:space="preserve"> </w:t>
      </w:r>
      <w:r>
        <w:t xml:space="preserve">possesses high levels of cultural competence. The classroom is often a microcosm of the world, where students bring diverse educational backgrounds, language proficiencies, and cultural norms. A reflective practitioner understands that effective communication is not just about clarity of speech but also about sensitivity to context. When a</w:t>
      </w:r>
      <w:r>
        <w:t xml:space="preserve"> </w:t>
      </w:r>
      <w:r>
        <w:rPr>
          <w:bCs/>
          <w:b/>
        </w:rPr>
        <w:t xml:space="preserve">Professor</w:t>
      </w:r>
      <w:r>
        <w:t xml:space="preserve"> </w:t>
      </w:r>
      <w:r>
        <w:t xml:space="preserve">fails to recognize these nuances, learning barriers arise. However, when they embrace these differences as educational assets, the classroom becomes a site of dynamic exchange.</w:t>
      </w:r>
    </w:p>
    <w:p>
      <w:pPr>
        <w:pStyle w:val="BodyText"/>
      </w:pPr>
      <w:r>
        <w:t xml:space="preserve">This reflection highlights the importance of decolonizing the curriculum and incorporating indigenous perspectives, particularly given British Columbia’s history and its relationship with First Nations peoples. A responsible</w:t>
      </w:r>
      <w:r>
        <w:t xml:space="preserve"> </w:t>
      </w:r>
      <w:r>
        <w:rPr>
          <w:bCs/>
          <w:b/>
        </w:rPr>
        <w:t xml:space="preserve">Professor</w:t>
      </w:r>
      <w:r>
        <w:t xml:space="preserve"> </w:t>
      </w:r>
      <w:r>
        <w:t xml:space="preserve">in this region actively seeks to integrate local knowledge systems into their teaching. This is not merely a political gesture but an academic imperative that enriches the intellectual discourse of the university. By doing so, the</w:t>
      </w:r>
      <w:r>
        <w:t xml:space="preserve"> </w:t>
      </w:r>
      <w:r>
        <w:rPr>
          <w:bCs/>
          <w:b/>
        </w:rPr>
        <w:t xml:space="preserve">Professor</w:t>
      </w:r>
      <w:r>
        <w:t xml:space="preserve"> </w:t>
      </w:r>
      <w:r>
        <w:t xml:space="preserve">models humility and respect, values that are essential for any scholar operating in a globalized world.</w:t>
      </w:r>
    </w:p>
    <w:bookmarkEnd w:id="22"/>
    <w:bookmarkStart w:id="23" w:name="X62fa417eae036815aca21fcb9554870b3aa1d06"/>
    <w:p>
      <w:pPr>
        <w:pStyle w:val="Heading2"/>
      </w:pPr>
      <w:r>
        <w:t xml:space="preserve">The Challenge of Academic Rigor vs. Accessibility</w:t>
      </w:r>
    </w:p>
    <w:p>
      <w:pPr>
        <w:pStyle w:val="FirstParagraph"/>
      </w:pPr>
      <w:r>
        <w:t xml:space="preserve">A recurring theme in my reflection is the delicate balance between maintaining academic rigor and ensuring accessibility. In the competitive academic environment of</w:t>
      </w:r>
      <w:r>
        <w:t xml:space="preserve"> </w:t>
      </w:r>
      <w:r>
        <w:rPr>
          <w:bCs/>
          <w:b/>
        </w:rPr>
        <w:t xml:space="preserve">Canada Vancouver</w:t>
      </w:r>
      <w:r>
        <w:t xml:space="preserve">, there is often pressure to publish, secure grants, and maintain high standards. However, this should not come at the expense of student support. The best</w:t>
      </w:r>
      <w:r>
        <w:t xml:space="preserve"> </w:t>
      </w:r>
      <w:r>
        <w:rPr>
          <w:bCs/>
          <w:b/>
        </w:rPr>
        <w:t xml:space="preserve">Professor</w:t>
      </w:r>
      <w:r>
        <w:t xml:space="preserve">s I have observed are those who challenge students intellectually while providing robust scaffolding to help them succeed. They understand that difficulty is necessary for growth, but confusion is not.</w:t>
      </w:r>
    </w:p>
    <w:p>
      <w:pPr>
        <w:pStyle w:val="BodyText"/>
      </w:pPr>
      <w:r>
        <w:t xml:space="preserve">This balance requires constant self-assessment and adaptation. It involves reflecting on one’s teaching practices: Am I communicating complex ideas clearly? Am I providing opportunities for diverse modes of expression? How am I fostering a sense of belonging among my students in this vibrant yet sometimes isolating urban academic setting?</w:t>
      </w:r>
    </w:p>
    <w:bookmarkEnd w:id="23"/>
    <w:bookmarkStart w:id="24" w:name="conclusion-the-enduring-impact"/>
    <w:p>
      <w:pPr>
        <w:pStyle w:val="Heading2"/>
      </w:pPr>
      <w:r>
        <w:t xml:space="preserve">Conclusion: The Enduring Impact</w:t>
      </w:r>
    </w:p>
    <w:p>
      <w:pPr>
        <w:pStyle w:val="FirstParagraph"/>
      </w:pPr>
      <w:r>
        <w:t xml:space="preserve">In conclusion, the role of the</w:t>
      </w:r>
      <w:r>
        <w:t xml:space="preserve"> </w:t>
      </w:r>
      <w:r>
        <w:rPr>
          <w:bCs/>
          <w:b/>
        </w:rPr>
        <w:t xml:space="preserve">Professor</w:t>
      </w:r>
      <w:r>
        <w:t xml:space="preserve"> </w:t>
      </w:r>
      <w:r>
        <w:t xml:space="preserve">in the context of</w:t>
      </w:r>
      <w:r>
        <w:t xml:space="preserve"> </w:t>
      </w:r>
      <w:r>
        <w:rPr>
          <w:bCs/>
          <w:b/>
        </w:rPr>
        <w:t xml:space="preserve">Canada Vancouver</w:t>
      </w:r>
      <w:r>
        <w:t xml:space="preserve">&gt; is multifaceted and profoundly impactful. It requires a blend of scholarly expertise, emotional intelligence, cultural sensitivity, and ethical commitment. The environment provided by this specific Canadian city offers both challenges and opportunities that shape how teaching is practiced.</w:t>
      </w:r>
    </w:p>
    <w:p>
      <w:pPr>
        <w:pStyle w:val="BodyText"/>
      </w:pPr>
      <w:r>
        <w:t xml:space="preserve">As I look toward the future of higher education in this region, I am confident that the</w:t>
      </w:r>
      <w:r>
        <w:t xml:space="preserve"> </w:t>
      </w:r>
      <w:r>
        <w:rPr>
          <w:bCs/>
          <w:b/>
        </w:rPr>
        <w:t xml:space="preserve">Professor</w:t>
      </w:r>
      <w:r>
        <w:t xml:space="preserve">s who thrive will be those who view their role as a vocation rather than just a job. They will continue to adapt to the changing needs of their students, engage deeply with the local community, and uphold the highest standards of academic integrity. The reflection on this journey reminds us that education is not just about preparing students for jobs; it is about preparing them for life in a complex, interconnected world. In</w:t>
      </w:r>
      <w:r>
        <w:t xml:space="preserve"> </w:t>
      </w:r>
      <w:r>
        <w:rPr>
          <w:bCs/>
          <w:b/>
        </w:rPr>
        <w:t xml:space="preserve">Canada Vancouver</w:t>
      </w:r>
      <w:r>
        <w:t xml:space="preserve">, where nature and urbanity meet, and cultures collide and blend, the</w:t>
      </w:r>
      <w:r>
        <w:t xml:space="preserve"> </w:t>
      </w:r>
      <w:r>
        <w:rPr>
          <w:bCs/>
          <w:b/>
        </w:rPr>
        <w:t xml:space="preserve">Professor</w:t>
      </w:r>
      <w:r>
        <w:t xml:space="preserve"> </w:t>
      </w:r>
      <w:r>
        <w:t xml:space="preserve">stands as a beacon of guidance, helping students navigate this rich complexity with confidence and purpose.</w:t>
      </w:r>
    </w:p>
    <w:p>
      <w:pPr>
        <w:pStyle w:val="BodyText"/>
      </w:pPr>
      <w:r>
        <w:t xml:space="preserve">This document serves as a testament to the enduring value of thoughtful pedagogy. By honoring the unique aspects of our location in</w:t>
      </w:r>
      <w:r>
        <w:t xml:space="preserve"> </w:t>
      </w:r>
      <w:r>
        <w:rPr>
          <w:bCs/>
          <w:b/>
        </w:rPr>
        <w:t xml:space="preserve">Canada Vancouver</w:t>
      </w:r>
      <w:r>
        <w:t xml:space="preserve">, we empower each</w:t>
      </w:r>
      <w:r>
        <w:t xml:space="preserve"> </w:t>
      </w:r>
      <w:r>
        <w:rPr>
          <w:bCs/>
          <w:b/>
        </w:rPr>
        <w:t xml:space="preserve">Professor</w:t>
      </w:r>
      <w:r>
        <w:t xml:space="preserve"> </w:t>
      </w:r>
      <w:r>
        <w:t xml:space="preserve">to become not just an educator, but a transformative agent in the lives of countless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Navigating Academic Life in Canada Vancouver</dc:title>
  <dc:creator/>
  <dc:language>en</dc:language>
  <cp:keywords/>
  <dcterms:created xsi:type="dcterms:W3CDTF">2026-07-29T08:31:42Z</dcterms:created>
  <dcterms:modified xsi:type="dcterms:W3CDTF">2026-07-29T08:31:42Z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