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1a264c971d57348b4cf35e15a9680160d6ea823"/>
    <w:p>
      <w:pPr>
        <w:pStyle w:val="Heading1"/>
      </w:pPr>
      <w:r>
        <w:t xml:space="preserve">A Reflection Paper on the Role of the Speech Therapist in Vietnam Ho Chi Minh City</w:t>
      </w:r>
    </w:p>
    <w:p>
      <w:pPr>
        <w:pStyle w:val="FirstParagraph"/>
      </w:pPr>
      <w:r>
        <w:t xml:space="preserve">This Reflection Paper serves as a structured and introspective examination of how the Speech Therapist navigates clinical, cultural, and systemic landscapes within Vietnam Ho Chi Minh City. As an academic and professional document designed for critical self-awareness, this Reflection Paper intentionally situates the practice of speech-language pathology within a rapidly urbanizing metropolis that balances traditional Vietnamese values with modern healthcare advancement. The purpose of this Reflection Paper is not merely to describe clinical duties, but to analyze how a Speech Therapist adapts evidence-based methodologies to local linguistic structures, socioeconomic realities, and community expectations in Vietnam Ho Chi Minh City.</w:t>
      </w:r>
    </w:p>
    <w:p>
      <w:pPr>
        <w:pStyle w:val="BodyText"/>
      </w:pPr>
      <w:r>
        <w:t xml:space="preserve">Vietnam Ho Chi Minh City operates as one of Southeast Asia’s most dynamic economic and educational hubs, where population density and urban migration have significantly increased the visibility of communication disorders. For a Speech Therapist practicing in this environment, patient demographics span developmental delays in young children, age-related cognitive decline among aging adults, and neurogenic conditions following strokes or traumatic injuries. This Reflection Paper emphasizes that understanding the epidemiological shifts within Vietnam Ho Chi Minh City is essential for delivering responsive care. The growing middle class has heightened awareness of early intervention benefits, yet disparities in healthcare access remain pronounced across districts such as District 10, Binh Tan, and rural-adjacent municipalities like Cu Chi.</w:t>
      </w:r>
    </w:p>
    <w:p>
      <w:pPr>
        <w:pStyle w:val="BodyText"/>
      </w:pPr>
      <w:r>
        <w:t xml:space="preserve">The clinical responsibilities of a Speech Therapist extend far beyond articulation exercises and swallowing evaluations. In Vietnam Ho Chi Minh City, therapy must account for the tonal nature of the Vietnamese language, where pitch variation carries lexical meaning. This linguistic reality requires a Speech Therapist to modify standardized Western assessment tools and develop localized intervention strategies that accurately capture phonological patterns and prosodic errors. This Reflection Paper notes that cultural competence is not optional; it is foundational to ethical practice. Families often view speech difficulties through a developmental lens, assuming children will naturally outgrow delays without professional guidance. Consequently, the Speech Therapist must function as both clinician and health educator, demystifying diagnostic processes and encouraging timely referrals within Vietnam Ho Chi Minh City’s evolving healthcare ecosystem.</w:t>
      </w:r>
    </w:p>
    <w:p>
      <w:pPr>
        <w:pStyle w:val="BodyText"/>
      </w:pPr>
      <w:r>
        <w:t xml:space="preserve">Systemic challenges further shape how this profession operates on the ground. Public hospitals frequently experience staffing shortages and limited access to advanced speech-generating devices or standardized cognitive-linguistic batteries. Private clinics, while better resourced, cater predominantly to expatriates and affluent locals, creating a dual-care landscape that raises equity concerns addressed throughout this Reflection Paper. The Speech Therapist must therefore demonstrate resourcefulness, often relying on low-tech visual aids, parent-mediated home programs, and community outreach initiatives to bridge gaps in service delivery. These constraints do not diminish the profession’s value; rather, they highlight the resilience and adaptability required of a Speech Therapist committed to serving Vietnam Ho Chi Minh City’s diverse population.</w:t>
      </w:r>
    </w:p>
    <w:p>
      <w:pPr>
        <w:pStyle w:val="BodyText"/>
      </w:pPr>
      <w:r>
        <w:t xml:space="preserve">Interdisciplinary collaboration represents another critical dimension explored in this Reflection Paper. Modern healthcare in Vietnam Ho Chi Minh City increasingly recognizes that communication disorders rarely exist in isolation. A Speech Therapist must routinely coordinate with pediatricians, neurologists, occupational therapists, special education teachers, and social workers to ensure holistic patient management. School-based programs are gradually integrating speech-language support into individualized education plans, reflecting a systemic shift toward inclusive practices. This multidisciplinary approach aligns closely with the reflective nature of this Reflection Paper: by examining how collaboration improves clinical outcomes, we recognize that the Speech Therapist’s impact multiplies when embedded within broader support networks across Vietnam Ho Chi Minh City.</w:t>
      </w:r>
    </w:p>
    <w:p>
      <w:pPr>
        <w:pStyle w:val="BodyText"/>
      </w:pPr>
      <w:r>
        <w:t xml:space="preserve">Technology and telehealth have emerged as transformative forces reshaping service delivery models in recent years. This Reflection Paper acknowledges that digital intervention platforms now enable remote assessments, virtual parent coaching, and continuous progress monitoring for clients residing in peripheral districts of Vietnam Ho Chi Minh City. While broadband infrastructure and digital literacy still present barriers for vulnerable populations, the Speech Therapist who embraces blended-care approaches can extend their reach without compromising clinical rigor. The integration of telepractice does not replace face-to-face interaction; instead, it expands the professional toolkit, allowing for more consistent follow-ups and family engagement throughout long-term rehabilitation trajectories.</w:t>
      </w:r>
    </w:p>
    <w:p>
      <w:pPr>
        <w:pStyle w:val="BodyText"/>
      </w:pPr>
      <w:r>
        <w:t xml:space="preserve">In conclusion, this Reflection Paper affirms that the Speech Therapist occupies a vital position within Vietnam Ho Chi Minh City’s healthcare continuum. Through clinical expertise, cultural humility, systemic advocacy, and technological adaptability, these professionals transform communication barriers into opportunities for personal growth and social participation. The challenges outlined herein are not insurmountable obstacles but rather catalysts for professional innovation and policy advancement. As Vietnam Ho Chi Minh City continues to invest in medical education, rehabilitation infrastructure, and inclusive community initiatives, the Speech Therapist will remain an indispensable contributor to equitable care. This Reflection Paper ultimately stands as a testament to the enduring value of dedicated speech-language professionals who consistently prioritize human connection, evidence-based practice, and lifelong advocacy for every individual they 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the Speech Therapist in Vietnam Ho Chi Minh City</dc:title>
  <dc:creator/>
  <dc:language>en</dc:language>
  <cp:keywords/>
  <dcterms:created xsi:type="dcterms:W3CDTF">2026-07-29T17:03:27Z</dcterms:created>
  <dcterms:modified xsi:type="dcterms:W3CDTF">2026-07-29T17:03:27Z</dcterms:modified>
</cp:coreProperties>
</file>

<file path=docProps/custom.xml><?xml version="1.0" encoding="utf-8"?>
<Properties xmlns="http://schemas.openxmlformats.org/officeDocument/2006/custom-properties" xmlns:vt="http://schemas.openxmlformats.org/officeDocument/2006/docPropsVTypes"/>
</file>