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Teaching</w:t>
      </w:r>
      <w:r>
        <w:t xml:space="preserve"> </w:t>
      </w:r>
      <w:r>
        <w:t xml:space="preserve">Secondary</w:t>
      </w:r>
      <w:r>
        <w:t xml:space="preserve"> </w:t>
      </w:r>
      <w:r>
        <w:t xml:space="preserve">Education</w:t>
      </w:r>
      <w:r>
        <w:t xml:space="preserve"> </w:t>
      </w:r>
      <w:r>
        <w:t xml:space="preserve">in</w:t>
      </w:r>
      <w:r>
        <w:t xml:space="preserve"> </w:t>
      </w:r>
      <w:r>
        <w:t xml:space="preserve">Japan,</w:t>
      </w:r>
      <w:r>
        <w:t xml:space="preserve"> </w:t>
      </w:r>
      <w:r>
        <w:t xml:space="preserve">Osaka</w:t>
      </w:r>
    </w:p>
    <w:bookmarkStart w:id="26" w:name="X9d778adf5aa56e73842a0818544a26bd94b92a9"/>
    <w:p>
      <w:pPr>
        <w:pStyle w:val="Heading2"/>
      </w:pPr>
      <w:r>
        <w:t xml:space="preserve">Reflections on Teaching Secondary Education in Japan, Osaka</w:t>
      </w:r>
    </w:p>
    <w:p>
      <w:pPr>
        <w:pStyle w:val="FirstParagraph"/>
      </w:pPr>
      <w:r>
        <w:br/>
      </w:r>
      <w:r>
        <w:br/>
      </w:r>
    </w:p>
    <w:p>
      <w:r>
        <w:pict>
          <v:rect style="width:0;height:1.5pt" o:hralign="center" o:hrstd="t" o:hr="t"/>
        </w:pict>
      </w:r>
    </w:p>
    <w:p>
      <w:pPr>
        <w:pStyle w:val="FirstParagraph"/>
      </w:pPr>
      <w:r>
        <w:br/>
      </w:r>
      <w:r>
        <w:br/>
      </w:r>
    </w:p>
    <w:bookmarkStart w:id="25" w:name="X8e567c053e4b89b30bc9128767295c685a44680"/>
    <w:p>
      <w:pPr>
        <w:pStyle w:val="Heading3"/>
      </w:pPr>
      <w:r>
        <w:t xml:space="preserve">The Intersection of Pedagogy and Culture: A Journey into Teacher Secondary in Japan, Osaka</w:t>
      </w:r>
    </w:p>
    <w:p>
      <w:pPr>
        <w:pStyle w:val="FirstParagraph"/>
      </w:pPr>
      <w:r>
        <w:t xml:space="preserve">Serving as a</w:t>
      </w:r>
      <w:r>
        <w:t xml:space="preserve"> </w:t>
      </w:r>
      <w:r>
        <w:rPr>
          <w:bCs/>
          <w:b/>
        </w:rPr>
        <w:t xml:space="preserve">Teacher Secondary</w:t>
      </w:r>
      <w:r>
        <w:t xml:space="preserve"> </w:t>
      </w:r>
      <w:r>
        <w:t xml:space="preserve">within the vibrant educational landscape of</w:t>
      </w:r>
      <w:r>
        <w:t xml:space="preserve"> </w:t>
      </w:r>
      <w:r>
        <w:rPr>
          <w:bCs/>
          <w:b/>
        </w:rPr>
        <w:t xml:space="preserve">JAPAN, OSAKA</w:t>
      </w:r>
      <w:r>
        <w:t xml:space="preserve">, presents an experience that transcends standard pedagogical methodologies. The transition from Western educational frameworks to the intricate socio-cultural tapestry of Kansai culture requires not only linguistic adaptation but also a profound philosophical shift in how secondary education is perceived, delivered, and received. This reflection aims to explore the multifaceted dimensions of teaching English and global perspectives in Osaka’s high schools, analyzing the challenges of cultural integration, the unique dynamics of adolescent development in Japan today.</w:t>
      </w:r>
    </w:p>
    <w:bookmarkStart w:id="20" w:name="X15053707a8a6ba961595da72f56c0f537f5209b"/>
    <w:p>
      <w:pPr>
        <w:pStyle w:val="Heading4"/>
      </w:pPr>
      <w:r>
        <w:t xml:space="preserve">The Cultural Context: Embracing "Osaka-kku" alongside Japanese Formality</w:t>
      </w:r>
    </w:p>
    <w:p>
      <w:pPr>
        <w:pStyle w:val="FirstParagraph"/>
      </w:pPr>
      <w:r>
        <w:t xml:space="preserve">To function effectively as a</w:t>
      </w:r>
      <w:r>
        <w:t xml:space="preserve"> </w:t>
      </w:r>
      <w:r>
        <w:rPr>
          <w:bCs/>
          <w:b/>
        </w:rPr>
        <w:t xml:space="preserve">Teacher Secondary</w:t>
      </w:r>
      <w:r>
        <w:t xml:space="preserve">, one must first understand that</w:t>
      </w:r>
      <w:r>
        <w:t xml:space="preserve"> </w:t>
      </w:r>
      <w:r>
        <w:rPr>
          <w:bCs/>
          <w:b/>
        </w:rPr>
        <w:t xml:space="preserve">JAPAN, OSAKA</w:t>
      </w:r>
      <w:r>
        <w:t xml:space="preserve">, is not monolithic. While it shares the broader structural and cultural traits of the entire country, Osaka possesses a distinct identity known locally as "Osaka-kku." Unlike Tokyo’s reserved formality, Osaka culture is characterized by warmth, humor (manzai comedy), directness in communication, and a strong sense of community. For an educator navigating these waters, this cultural nuance is vital. In the classroom of</w:t>
      </w:r>
      <w:r>
        <w:t xml:space="preserve"> </w:t>
      </w:r>
      <w:r>
        <w:rPr>
          <w:bCs/>
          <w:b/>
        </w:rPr>
        <w:t xml:space="preserve">JAPAN</w:t>
      </w:r>
      <w:r>
        <w:t xml:space="preserve">, particularly in the secondary level where peer influence peaks students are highly sensitive to social harmony and hierarchy. However, Osaka’s more relaxed demeanor allows for slightly more open interaction than one might expect in other prefectures. Recognizing this distinction has been crucial for building rapport with both students and staff.</w:t>
      </w:r>
    </w:p>
    <w:p>
      <w:pPr>
        <w:pStyle w:val="BodyText"/>
      </w:pPr>
      <w:r>
        <w:t xml:space="preserve">The concept of *wa* (harmony) underpins all interactions in Japanese schools. As a</w:t>
      </w:r>
      <w:r>
        <w:t xml:space="preserve"> </w:t>
      </w:r>
      <w:r>
        <w:rPr>
          <w:bCs/>
          <w:b/>
        </w:rPr>
        <w:t xml:space="preserve">Teacher Secondary</w:t>
      </w:r>
      <w:r>
        <w:t xml:space="preserve">, I have learned that my authority is not derived solely from institutional position but from relational trust. Students here do not simply learn facts; they learn how to exist within a collective system. Therefore, teaching methods that prioritize rote memorization without contextual understanding fail to engage them deeply. Instead, integrating Osaka’s communal spirit into lesson plans—using group work and collaborative problem-solving that reflects the city's own collaborative business and community structures—has proven highly effective.</w:t>
      </w:r>
    </w:p>
    <w:bookmarkEnd w:id="20"/>
    <w:bookmarkStart w:id="21" w:name="X7e829e0a278cc825590e080c50ef1ad6922a25d"/>
    <w:p>
      <w:pPr>
        <w:pStyle w:val="Heading4"/>
      </w:pPr>
      <w:r>
        <w:t xml:space="preserve">Adolescent Dynamics: The Secondary Classroom Experience</w:t>
      </w:r>
    </w:p>
    <w:p>
      <w:pPr>
        <w:pStyle w:val="FirstParagraph"/>
      </w:pPr>
      <w:r>
        <w:t xml:space="preserve">The secondary school years in Japan are a period of intense identity formation, exacerbated by the immense pressure of academic entrance examinations (*juken*). As a</w:t>
      </w:r>
      <w:r>
        <w:t xml:space="preserve"> </w:t>
      </w:r>
      <w:r>
        <w:rPr>
          <w:bCs/>
          <w:b/>
        </w:rPr>
        <w:t xml:space="preserve">Teacher Secondary</w:t>
      </w:r>
      <w:r>
        <w:t xml:space="preserve">, I am often the bridge between rigid academic expectations and the students' need for expressive outlets. In</w:t>
      </w:r>
      <w:r>
        <w:t xml:space="preserve"> </w:t>
      </w:r>
      <w:r>
        <w:rPr>
          <w:bCs/>
          <w:b/>
        </w:rPr>
        <w:t xml:space="preserve">JAPAN, OSAKA</w:t>
      </w:r>
      <w:r>
        <w:t xml:space="preserve">, students display an intellectual curiosity that is sometimes stifled by traditional lecture-based teaching. They are eager to speak but hesitate due to fear of making errors—a common trait across East Asian educational systems, yet here it manifests with specific nuances related to "face" and social standing.</w:t>
      </w:r>
    </w:p>
    <w:p>
      <w:pPr>
        <w:pStyle w:val="BodyText"/>
      </w:pPr>
      <w:r>
        <w:t xml:space="preserve">One significant challenge has been shifting the mindset from passive listening to active participation. In many Osaka classrooms I have observed, silence is often interpreted as respect rather than disengagement. Breaking this ice requires patience. Utilizing the vibrant, informal atmosphere of</w:t>
      </w:r>
      <w:r>
        <w:t xml:space="preserve"> </w:t>
      </w:r>
      <w:r>
        <w:rPr>
          <w:bCs/>
          <w:b/>
        </w:rPr>
        <w:t xml:space="preserve">JAPAN</w:t>
      </w:r>
      <w:r>
        <w:t xml:space="preserve">, especially during lunch breaks or club activities (bukatsu), where students are more relaxed, allows for organic language exchange that can later be translated into formal classroom confidence. The energy in Osaka is palpable; it spills over into the school environment, making secondary education a dynamic rather than static process.</w:t>
      </w:r>
    </w:p>
    <w:bookmarkEnd w:id="21"/>
    <w:bookmarkStart w:id="22" w:name="language-as-a-cultural-key"/>
    <w:p>
      <w:pPr>
        <w:pStyle w:val="Heading4"/>
      </w:pPr>
      <w:r>
        <w:t xml:space="preserve">Language as a Cultural Key</w:t>
      </w:r>
    </w:p>
    <w:p>
      <w:pPr>
        <w:pStyle w:val="FirstParagraph"/>
      </w:pPr>
      <w:r>
        <w:t xml:space="preserve">Linguistic proficiency is the backbone of any</w:t>
      </w:r>
      <w:r>
        <w:t xml:space="preserve"> </w:t>
      </w:r>
      <w:r>
        <w:rPr>
          <w:bCs/>
          <w:b/>
        </w:rPr>
        <w:t xml:space="preserve">Teacher Secondary</w:t>
      </w:r>
      <w:r>
        <w:t xml:space="preserve">'s role. In</w:t>
      </w:r>
      <w:r>
        <w:t xml:space="preserve"> </w:t>
      </w:r>
      <w:r>
        <w:rPr>
          <w:bCs/>
          <w:b/>
        </w:rPr>
        <w:t xml:space="preserve">JAPAN, OSAKA</w:t>
      </w:r>
      <w:r>
        <w:t xml:space="preserve">, language learning is not just about grammar and vocabulary; it is an act of cultural diplomacy. When I instruct students in English, I am simultaneously teaching them about global citizenship. However, the reverse is also true: learning Japanese allows me to understand the underlying anxieties and aspirations of my students.</w:t>
      </w:r>
    </w:p>
    <w:p>
      <w:pPr>
        <w:pStyle w:val="BodyText"/>
      </w:pPr>
      <w:r>
        <w:t xml:space="preserve">The dialect differences between standard Tokyo Japanese (*hyoujungo*) and Kansai-ben can be a source of confusion for outsiders but an opportunity for connection here. While I maintain professional standards using standard Japanese in formal school settings, acknowledging local Osaka expressions builds bridges with colleagues and community members. This dual awareness—respecting the national educational standards while appreciating local dialectical warmth—is essential for holistic integration into</w:t>
      </w:r>
      <w:r>
        <w:t xml:space="preserve"> </w:t>
      </w:r>
      <w:r>
        <w:rPr>
          <w:bCs/>
          <w:b/>
        </w:rPr>
        <w:t xml:space="preserve">JAPAN</w:t>
      </w:r>
      <w:r>
        <w:t xml:space="preserve">.</w:t>
      </w:r>
    </w:p>
    <w:bookmarkEnd w:id="22"/>
    <w:bookmarkStart w:id="23" w:name="X6b199d58b9e20cf642b6edb30c0f6c20394535d"/>
    <w:p>
      <w:pPr>
        <w:pStyle w:val="Heading4"/>
      </w:pPr>
      <w:r>
        <w:t xml:space="preserve">Professional Growth and Institutional Expectations</w:t>
      </w:r>
    </w:p>
    <w:p>
      <w:pPr>
        <w:pStyle w:val="FirstParagraph"/>
      </w:pPr>
      <w:r>
        <w:t xml:space="preserve">The role of a</w:t>
      </w:r>
      <w:r>
        <w:t xml:space="preserve"> </w:t>
      </w:r>
      <w:r>
        <w:rPr>
          <w:bCs/>
          <w:b/>
        </w:rPr>
        <w:t xml:space="preserve">Teacher Secondary</w:t>
      </w:r>
      <w:r>
        <w:t xml:space="preserve">, particularly in the context of Japan’s ALT (Assistant Language Teacher) or JET Programme frameworks, involves navigating complex institutional expectations. There is a clear division between homeroom teachers (*kotennin*) who handle pastoral care and administrative duties, and specialized subject teachers. My role has evolved to complement rather than compete with this structure.</w:t>
      </w:r>
    </w:p>
    <w:p>
      <w:pPr>
        <w:pStyle w:val="BodyText"/>
      </w:pPr>
      <w:r>
        <w:t xml:space="preserve">In</w:t>
      </w:r>
      <w:r>
        <w:t xml:space="preserve"> </w:t>
      </w:r>
      <w:r>
        <w:rPr>
          <w:bCs/>
          <w:b/>
        </w:rPr>
        <w:t xml:space="preserve">JAPAN, OSAKA</w:t>
      </w:r>
      <w:r>
        <w:t xml:space="preserve">, I have learned that collaboration is key. Participating in *kyuujitsu* (preparation periods) meetings allows for meaningful dialogue about lesson planning. However, cultural barriers can sometimes lead to miscommunication regarding teaching styles. Western directness can sometimes clash with Japanese indirect communication (*haragei*). Learning to read between the lines and understanding that a polite "we will consider it" might mean a definitive no is a skill that has developed significantly over time.</w:t>
      </w:r>
    </w:p>
    <w:bookmarkEnd w:id="23"/>
    <w:bookmarkStart w:id="24" w:name="personal-reflection-and-future-outlook"/>
    <w:p>
      <w:pPr>
        <w:pStyle w:val="Heading4"/>
      </w:pPr>
      <w:r>
        <w:t xml:space="preserve">Personal Reflection and Future Outlook</w:t>
      </w:r>
    </w:p>
    <w:p>
      <w:pPr>
        <w:pStyle w:val="FirstParagraph"/>
      </w:pPr>
      <w:r>
        <w:t xml:space="preserve">Serving as an educator in this region has profoundly impacted my own worldview. Living in</w:t>
      </w:r>
      <w:r>
        <w:t xml:space="preserve"> </w:t>
      </w:r>
      <w:r>
        <w:rPr>
          <w:bCs/>
          <w:b/>
        </w:rPr>
        <w:t xml:space="preserve">JAPAN, OSAKA</w:t>
      </w:r>
      <w:r>
        <w:t xml:space="preserve">, offers a unique window into resilience (*gaman*) and the joy of communal life (*tanoshimi*). The secondary students here are navigating a rapidly changing world, facing pressures related to technology, globalization, and traditional expectations. By providing them with an international perspective through my teaching as a</w:t>
      </w:r>
      <w:r>
        <w:t xml:space="preserve"> </w:t>
      </w:r>
      <w:r>
        <w:rPr>
          <w:bCs/>
          <w:b/>
        </w:rPr>
        <w:t xml:space="preserve">Teacher Secondary</w:t>
      </w:r>
      <w:r>
        <w:t xml:space="preserve">, I hope to empower them not just for exams, but for global engagement.</w:t>
      </w:r>
    </w:p>
    <w:p>
      <w:pPr>
        <w:pStyle w:val="BodyText"/>
      </w:pPr>
      <w:r>
        <w:t xml:space="preserve">The warmth of the Osaka people—their genuine smiles and willingness to help—mirrors the hospitality (*omotenashi*) that defines Japanese service culture. This environment fosters a supportive atmosphere for educators willing to invest time in cultural understanding. As I continue this journey, my goal is to remain a flexible, reflective practitioner who honors local traditions while introducing innovative educational practices.</w:t>
      </w:r>
    </w:p>
    <w:p>
      <w:pPr>
        <w:pStyle w:val="BodyText"/>
      </w:pPr>
      <w:r>
        <w:t xml:space="preserve">In conclusion, being a</w:t>
      </w:r>
      <w:r>
        <w:t xml:space="preserve"> </w:t>
      </w:r>
      <w:r>
        <w:rPr>
          <w:bCs/>
          <w:b/>
        </w:rPr>
        <w:t xml:space="preserve">Teacher Secondary</w:t>
      </w:r>
      <w:r>
        <w:t xml:space="preserve"> </w:t>
      </w:r>
      <w:r>
        <w:t xml:space="preserve">in</w:t>
      </w:r>
      <w:r>
        <w:t xml:space="preserve"> </w:t>
      </w:r>
      <w:r>
        <w:rPr>
          <w:bCs/>
          <w:b/>
        </w:rPr>
        <w:t xml:space="preserve">JAPAN, OSAKA</w:t>
      </w:r>
      <w:r>
        <w:t xml:space="preserve">, is not merely about teaching English; it is about facilitating cross-cultural dialogue and personal growth. It requires patience to navigate the nuances of adolescent psychology in a high-pressure academic environment and cultural humility to integrate into the specific social fabric of Osaka life. The experience challenges preconceptions, demands continuous learning, ultimately rewards with deep interpersonal connections. Through this role, I contribute not only to the linguistic development of students but also foster mutual understanding between Japan and the global community.</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Teaching Secondary Education in Japan, Osaka</dc:title>
  <dc:creator/>
  <dc:language>en</dc:language>
  <cp:keywords/>
  <dcterms:created xsi:type="dcterms:W3CDTF">2026-07-29T15:26:04Z</dcterms:created>
  <dcterms:modified xsi:type="dcterms:W3CDTF">2026-07-29T15:26:04Z</dcterms:modified>
</cp:coreProperties>
</file>

<file path=docProps/custom.xml><?xml version="1.0" encoding="utf-8"?>
<Properties xmlns="http://schemas.openxmlformats.org/officeDocument/2006/custom-properties" xmlns:vt="http://schemas.openxmlformats.org/officeDocument/2006/docPropsVTypes"/>
</file>