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0" w:name="Xc980bc59f61e91e0549bd3fa078bb54296273e1"/>
    <w:p>
      <w:pPr>
        <w:pStyle w:val="Heading1"/>
      </w:pPr>
      <w:r>
        <w:t xml:space="preserve">The Swiss Classroom Experience:</w:t>
      </w:r>
      <w:r>
        <w:br/>
      </w:r>
      <w:r>
        <w:t xml:space="preserve">A Reflection on Being a Teacher Secondary in Switzerland Zurich</w:t>
      </w:r>
    </w:p>
    <w:bookmarkEnd w:id="20"/>
    <w:p>
      <w:pPr>
        <w:pStyle w:val="FirstParagraph"/>
      </w:pPr>
      <w:r>
        <w:t xml:space="preserve">This paper serves as a comprehensive reflection on the professional journey and pedagogical insights gained through the role of a Teacher Secondary within the specific educational context of Switzerland, with particular focus on Zurich. Navigating this dynamic landscape requires an understanding not only of curriculum standards but also of cultural nuances.</w:t>
      </w:r>
    </w:p>
    <w:bookmarkStart w:id="21" w:name="introduction-to-contextual-awareness"/>
    <w:p>
      <w:pPr>
        <w:pStyle w:val="Heading2"/>
      </w:pPr>
      <w:r>
        <w:t xml:space="preserve">Introduction to Contextual Awareness</w:t>
      </w:r>
    </w:p>
    <w:p>
      <w:pPr>
        <w:pStyle w:val="FirstParagraph"/>
      </w:pPr>
      <w:r>
        <w:t xml:space="preserve">The position as a</w:t>
      </w:r>
      <w:r>
        <w:t xml:space="preserve"> </w:t>
      </w:r>
      <w:r>
        <w:rPr>
          <w:bCs/>
          <w:b/>
        </w:rPr>
        <w:t xml:space="preserve">Teacher Secondary</w:t>
      </w:r>
      <w:r>
        <w:t xml:space="preserve"> </w:t>
      </w:r>
      <w:r>
        <w:t xml:space="preserve">in</w:t>
      </w:r>
      <w:r>
        <w:t xml:space="preserve"> </w:t>
      </w:r>
      <w:r>
        <w:rPr>
          <w:bCs/>
          <w:b/>
        </w:rPr>
        <w:t xml:space="preserve">Switzerland Zurich</w:t>
      </w:r>
      <w:r>
        <w:t xml:space="preserve"> </w:t>
      </w:r>
      <w:r>
        <w:t xml:space="preserve">presents a unique set of challenges and rewards. Unlike many other regions, the Swiss educational system is characterized by its high standards, multilingual environment, and deep-rooted respect for tradition combined with innovation. In Zurich specifically, one finds a cosmopolitan backdrop that influences classroom dynamics significantly.</w:t>
      </w:r>
    </w:p>
    <w:p>
      <w:pPr>
        <w:pStyle w:val="BodyText"/>
      </w:pPr>
      <w:r>
        <w:t xml:space="preserve">Reflecting on my initial days in this role reveals how quickly cultural competence became as important subject matter expertise. The diversity of students in</w:t>
      </w:r>
      <w:r>
        <w:t xml:space="preserve"> </w:t>
      </w:r>
      <w:r>
        <w:rPr>
          <w:bCs/>
          <w:b/>
        </w:rPr>
        <w:t xml:space="preserve">Switzerland Zurich</w:t>
      </w:r>
      <w:r>
        <w:t xml:space="preserve"> </w:t>
      </w:r>
      <w:r>
        <w:t xml:space="preserve">schools often mirrors the city itself—a blend of local Swiss heritage and international expatriate communities. As a</w:t>
      </w:r>
      <w:r>
        <w:t xml:space="preserve"> </w:t>
      </w:r>
      <w:r>
        <w:rPr>
          <w:bCs/>
          <w:b/>
        </w:rPr>
        <w:t xml:space="preserve">Teacher Secondary</w:t>
      </w:r>
      <w:r>
        <w:t xml:space="preserve">, adapting to this multicultural tapestry is not optional; it is fundamental.</w:t>
      </w:r>
    </w:p>
    <w:bookmarkEnd w:id="21"/>
    <w:bookmarkStart w:id="22" w:name="X9f99c2d5d371d3e3dec8f842c3ae3b56d23d969"/>
    <w:p>
      <w:pPr>
        <w:pStyle w:val="Heading2"/>
      </w:pPr>
      <w:r>
        <w:t xml:space="preserve">Pedagogical Approaches in a Multicultural Setting</w:t>
      </w:r>
    </w:p>
    <w:p>
      <w:pPr>
        <w:pStyle w:val="FirstParagraph"/>
      </w:pPr>
      <w:r>
        <w:t xml:space="preserve">"Education is the passport to the future, for tomorrow belongs to those who prepare for it today." – Malcolm X. However, in</w:t>
      </w:r>
      <w:r>
        <w:t xml:space="preserve"> </w:t>
      </w:r>
      <w:r>
        <w:rPr>
          <w:bCs/>
          <w:b/>
        </w:rPr>
        <w:t xml:space="preserve">Switzerland Zurich</w:t>
      </w:r>
      <w:r>
        <w:t xml:space="preserve">, this passport must be bilingual or even trilingual.</w:t>
      </w:r>
    </w:p>
    <w:p>
      <w:pPr>
        <w:pStyle w:val="BodyText"/>
      </w:pPr>
      <w:r>
        <w:t xml:space="preserve">One of the primary reflections concerns language instruction and support. While English proficiency is high among students in</w:t>
      </w:r>
      <w:r>
        <w:t xml:space="preserve"> </w:t>
      </w:r>
      <w:r>
        <w:rPr>
          <w:bCs/>
          <w:b/>
        </w:rPr>
        <w:t xml:space="preserve">Switzerland Zurich</w:t>
      </w:r>
      <w:r>
        <w:t xml:space="preserve">, German remains crucial for integration into secondary education levels (Sekundarschule). As a</w:t>
      </w:r>
      <w:r>
        <w:t xml:space="preserve"> </w:t>
      </w:r>
      <w:r>
        <w:rPr>
          <w:bCs/>
          <w:b/>
        </w:rPr>
        <w:t xml:space="preserve">Teacher Secondary</w:t>
      </w:r>
      <w:r>
        <w:t xml:space="preserve">, I learned to bridge gaps between native speakers and those learning the language as a second tongue.</w:t>
      </w:r>
    </w:p>
    <w:p>
      <w:pPr>
        <w:pStyle w:val="BodyText"/>
      </w:pPr>
      <w:r>
        <w:t xml:space="preserve">Pedagogically, this necessitates differentiated instruction strategies. Group work becomes less about socialization and more about linguistic scaffolding. Collaborative projects are designed carefully so that every student can contribute meaningfully regardless of their fluency level. This approach enhances both academic outcomes and social cohesion within the classroom.</w:t>
      </w:r>
    </w:p>
    <w:bookmarkEnd w:id="22"/>
    <w:bookmarkStart w:id="23" w:name="challenges-of-high-expectations"/>
    <w:p>
      <w:pPr>
        <w:pStyle w:val="Heading2"/>
      </w:pPr>
      <w:r>
        <w:t xml:space="preserve">Challenges of High Expectations</w:t>
      </w:r>
    </w:p>
    <w:p>
      <w:pPr>
        <w:pStyle w:val="FirstParagraph"/>
      </w:pPr>
      <w:r>
        <w:t xml:space="preserve">The Swiss education system is known for its rigor. Parents in</w:t>
      </w:r>
      <w:r>
        <w:t xml:space="preserve"> </w:t>
      </w:r>
      <w:r>
        <w:rPr>
          <w:bCs/>
          <w:b/>
        </w:rPr>
        <w:t xml:space="preserve">Switzerland Zurich</w:t>
      </w:r>
      <w:r>
        <w:t xml:space="preserve"> </w:t>
      </w:r>
      <w:r>
        <w:t xml:space="preserve">are highly engaged and expect excellence from educators. For a</w:t>
      </w:r>
      <w:r>
        <w:t xml:space="preserve"> </w:t>
      </w:r>
      <w:r>
        <w:rPr>
          <w:bCs/>
          <w:b/>
        </w:rPr>
        <w:t xml:space="preserve">Teacher Secondary</w:t>
      </w:r>
      <w:r>
        <w:t xml:space="preserve">, maintaining this balance between nurturing individual growth and meeting standardized expectations can be demanding.</w:t>
      </w:r>
    </w:p>
    <w:p>
      <w:pPr>
        <w:numPr>
          <w:ilvl w:val="0"/>
          <w:numId w:val="1001"/>
        </w:numPr>
        <w:pStyle w:val="Compact"/>
      </w:pPr>
      <w:r>
        <w:t xml:space="preserve">Assessment methods must be transparent yet flexible enough to accommodate diverse learning styles.</w:t>
      </w:r>
    </w:p>
    <w:p>
      <w:pPr>
        <w:numPr>
          <w:ilvl w:val="0"/>
          <w:numId w:val="1001"/>
        </w:numPr>
        <w:pStyle w:val="Compact"/>
      </w:pPr>
      <w:r>
        <w:t xml:space="preserve">Mental health awareness is growing; recognizing stress signs early helps prevent burnout among adolescents facing academic pressure.</w:t>
      </w:r>
    </w:p>
    <w:p>
      <w:pPr>
        <w:pStyle w:val="FirstParagraph"/>
      </w:pPr>
      <w:r>
        <w:t xml:space="preserve">Reflecting on these challenges highlights the need for ongoing professional development. Continuous improvement isn't just a buzzword here—it's embedded in our daily practice through peer reviews, workshops, and international collaborations.</w:t>
      </w:r>
    </w:p>
    <w:bookmarkEnd w:id="23"/>
    <w:bookmarkStart w:id="24" w:name="Xa67d6813dfa2ac4df09b0dbe070c0286222b287"/>
    <w:p>
      <w:pPr>
        <w:pStyle w:val="Heading2"/>
      </w:pPr>
      <w:r>
        <w:t xml:space="preserve">The Role of Technology in Modern Teaching</w:t>
      </w:r>
    </w:p>
    <w:p>
      <w:pPr>
        <w:pStyle w:val="FirstParagraph"/>
      </w:pPr>
      <w:r>
        <w:t xml:space="preserve">In</w:t>
      </w:r>
      <w:r>
        <w:t xml:space="preserve"> </w:t>
      </w:r>
      <w:r>
        <w:rPr>
          <w:bCs/>
          <w:b/>
        </w:rPr>
        <w:t xml:space="preserve">Switzerland Zurich</w:t>
      </w:r>
      <w:r>
        <w:t xml:space="preserve">, technology plays an integral part of modern secondary education. Digital tools enhance engagement but also introduce new ethical considerations regarding screen time and data privacy. As a</w:t>
      </w:r>
      <w:r>
        <w:t xml:space="preserve"> </w:t>
      </w:r>
      <w:r>
        <w:rPr>
          <w:bCs/>
          <w:b/>
        </w:rPr>
        <w:t xml:space="preserve">Teacher Secondary</w:t>
      </w:r>
      <w:r>
        <w:t xml:space="preserve">, integrating these technologies effectively while safeguarding student wellbeing has been key.</w:t>
      </w:r>
    </w:p>
    <w:p>
      <w:pPr>
        <w:pStyle w:val="BodyText"/>
      </w:pPr>
      <w:r>
        <w:t xml:space="preserve">Virtual reality field trips, online collaborative platforms, and digital portfolios have transformed how we teach content areas like history or geography. These innovations allow students in</w:t>
      </w:r>
      <w:r>
        <w:t xml:space="preserve"> </w:t>
      </w:r>
      <w:r>
        <w:rPr>
          <w:bCs/>
          <w:b/>
        </w:rPr>
        <w:t xml:space="preserve">Switzerland Zurich</w:t>
      </w:r>
      <w:r>
        <w:t xml:space="preserve">'s diverse classrooms to connect globally while staying grounded locally.</w:t>
      </w:r>
    </w:p>
    <w:bookmarkEnd w:id="24"/>
    <w:bookmarkStart w:id="25" w:name="Xdc3cd95d1e5196eb91317b1877e5edbaaabfaf9"/>
    <w:p>
      <w:pPr>
        <w:pStyle w:val="Heading2"/>
      </w:pPr>
      <w:r>
        <w:t xml:space="preserve">Cultural Integration and Community Engagement</w:t>
      </w:r>
    </w:p>
    <w:p>
      <w:pPr>
        <w:pStyle w:val="FirstParagraph"/>
      </w:pPr>
      <w:r>
        <w:t xml:space="preserve">Being a</w:t>
      </w:r>
      <w:r>
        <w:t xml:space="preserve"> </w:t>
      </w:r>
      <w:r>
        <w:rPr>
          <w:bCs/>
          <w:b/>
        </w:rPr>
        <w:t xml:space="preserve">Teacher Secondary</w:t>
      </w:r>
      <w:r>
        <w:t xml:space="preserve"> </w:t>
      </w:r>
      <w:r>
        <w:t xml:space="preserve">extends beyond the classroom walls. Community involvement fosters stronger ties between families, schools, and local institutions. In</w:t>
      </w:r>
      <w:r>
        <w:t xml:space="preserve"> </w:t>
      </w:r>
      <w:r>
        <w:rPr>
          <w:bCs/>
          <w:b/>
        </w:rPr>
        <w:t xml:space="preserve">Switzerland Zurich</w:t>
      </w:r>
      <w:r>
        <w:t xml:space="preserve">, where community values are deeply ingrained, participating in parent-teacher meetings becomes an opportunity to build trust rather than merely report grades.</w:t>
      </w:r>
    </w:p>
    <w:p>
      <w:pPr>
        <w:pStyle w:val="BodyText"/>
      </w:pPr>
      <w:r>
        <w:t xml:space="preserve">This engagement allows educators to better understand each child's background—whether they hail from traditional Swiss families or recent immigrant households. Such insights inform personalized support plans tailored to individual needs without compromising collective goals.</w:t>
      </w:r>
    </w:p>
    <w:bookmarkEnd w:id="25"/>
    <w:bookmarkStart w:id="26" w:name="conclusion-embracing-lifelong-learning"/>
    <w:p>
      <w:pPr>
        <w:pStyle w:val="Heading2"/>
      </w:pPr>
      <w:r>
        <w:t xml:space="preserve">Conclusion: Embracing Lifelong Learning</w:t>
      </w:r>
    </w:p>
    <w:p>
      <w:pPr>
        <w:pStyle w:val="FirstParagraph"/>
      </w:pPr>
      <w:r>
        <w:t xml:space="preserve">"The beautiful thing about learning is that no one can take it away from you." – B.B. King. This sentiment resonates profoundly when reflecting on the journey of being a</w:t>
      </w:r>
      <w:r>
        <w:t xml:space="preserve"> </w:t>
      </w:r>
      <w:r>
        <w:rPr>
          <w:bCs/>
          <w:b/>
        </w:rPr>
        <w:t xml:space="preserve">Teacher Secondary</w:t>
      </w:r>
      <w:r>
        <w:t xml:space="preserve"> </w:t>
      </w:r>
      <w:r>
        <w:t xml:space="preserve">in</w:t>
      </w:r>
      <w:r>
        <w:t xml:space="preserve"> </w:t>
      </w:r>
      <w:r>
        <w:rPr>
          <w:bCs/>
          <w:b/>
        </w:rPr>
        <w:t xml:space="preserve">Switzerland Zurich</w:t>
      </w:r>
      <w:r>
        <w:t xml:space="preserve">.</w:t>
      </w:r>
    </w:p>
    <w:p>
      <w:pPr>
        <w:pStyle w:val="BodyText"/>
      </w:pPr>
      <w:r>
        <w:t xml:space="preserve">In conclusion, embracing lifelong learning ensures relevance amidst changing educational landscapes. Each challenge encountered—from managing multilingual classes to integrating advanced technology—offers opportunities for growth.</w:t>
      </w:r>
    </w:p>
    <w:p>
      <w:pPr>
        <w:pStyle w:val="BodyText"/>
      </w:pPr>
      <w:r>
        <w:t xml:space="preserve">Ultimately, the experience of being a</w:t>
      </w:r>
      <w:r>
        <w:t xml:space="preserve"> </w:t>
      </w:r>
      <w:r>
        <w:rPr>
          <w:bCs/>
          <w:b/>
        </w:rPr>
        <w:t xml:space="preserve">Teacher Secondary</w:t>
      </w:r>
      <w:r>
        <w:t xml:space="preserve"> </w:t>
      </w:r>
      <w:r>
        <w:t xml:space="preserve">in</w:t>
      </w:r>
      <w:r>
        <w:t xml:space="preserve"> </w:t>
      </w:r>
      <w:r>
        <w:rPr>
          <w:bCs/>
          <w:b/>
        </w:rPr>
        <w:t xml:space="preserve">Switzerland Zurich</w:t>
      </w:r>
      <w:r>
        <w:t xml:space="preserve"> </w:t>
      </w:r>
      <w:r>
        <w:t xml:space="preserve">teaches us humility, resilience, and creativity. By staying attuned to both historical traditions and modern innovations within this vibrant city-state environment—we empower our students not only academically but also emotionally prepared for life beyond school.</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Teacher Secondary in Switzerland Zurich</dc:title>
  <dc:creator/>
  <dc:language>en</dc:language>
  <cp:keywords/>
  <dcterms:created xsi:type="dcterms:W3CDTF">2026-07-29T07:00:31Z</dcterms:created>
  <dcterms:modified xsi:type="dcterms:W3CDTF">2026-07-29T07:00:31Z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