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Secondary</w:t>
      </w:r>
      <w:r>
        <w:t xml:space="preserve"> </w:t>
      </w:r>
      <w:r>
        <w:t xml:space="preserve">Schools:</w:t>
      </w:r>
      <w:r>
        <w:t xml:space="preserve"> </w:t>
      </w:r>
      <w:r>
        <w:t xml:space="preserve">A</w:t>
      </w:r>
      <w:r>
        <w:t xml:space="preserve"> </w:t>
      </w:r>
      <w:r>
        <w:t xml:space="preserve">Perspective</w:t>
      </w:r>
      <w:r>
        <w:t xml:space="preserve"> </w:t>
      </w:r>
      <w:r>
        <w:t xml:space="preserve">from</w:t>
      </w:r>
      <w:r>
        <w:t xml:space="preserve"> </w:t>
      </w:r>
      <w:r>
        <w:t xml:space="preserve">Kampala,</w:t>
      </w:r>
      <w:r>
        <w:t xml:space="preserve"> </w:t>
      </w:r>
      <w:r>
        <w:t xml:space="preserve">Uganda</w:t>
      </w:r>
    </w:p>
    <w:bookmarkStart w:id="35" w:name="X21684d83e65424b0804c74f1df8708e5731c2b0"/>
    <w:p>
      <w:pPr>
        <w:pStyle w:val="Heading1"/>
      </w:pPr>
      <w:r>
        <w:t xml:space="preserve">A Journey of Resilience and Hope:</w:t>
      </w:r>
      <w:r>
        <w:br/>
      </w:r>
      <w:r>
        <w:t xml:space="preserve">A Reflection Paper on Being a Teacher Secondary in Uganda Kampala</w:t>
      </w:r>
    </w:p>
    <w:p>
      <w:pPr>
        <w:pStyle w:val="FirstParagraph"/>
      </w:pPr>
      <w:r>
        <w:t xml:space="preserve">The role of an educator is often romanticized in literature, painted as a noble profession defined solely by the transmission of knowledge. However, my experience serving as a</w:t>
      </w:r>
      <w:r>
        <w:t xml:space="preserve"> </w:t>
      </w:r>
      <w:r>
        <w:rPr>
          <w:bCs/>
          <w:b/>
        </w:rPr>
        <w:t xml:space="preserve">Teacher Secondary</w:t>
      </w:r>
      <w:r>
        <w:t xml:space="preserve"> </w:t>
      </w:r>
      <w:r>
        <w:t xml:space="preserve">within the vibrant yet complex educational landscape of</w:t>
      </w:r>
      <w:r>
        <w:t xml:space="preserve"> </w:t>
      </w:r>
      <w:r>
        <w:rPr>
          <w:bCs/>
          <w:b/>
        </w:rPr>
        <w:t xml:space="preserve">Kampala, Uganda</w:t>
      </w:r>
      <w:r>
        <w:t xml:space="preserve">, has revealed that teaching is far more than instruction; it is an act of profound social engagement, resilience, and cultural negotiation. This reflection paper seeks to explore the multifaceted nature of this profession, analyzing how the specific context of Kampala shapes pedagogical approaches and how the identity of a secondary teacher is inextricably linked to the socio-economic realities of its students.</w:t>
      </w:r>
    </w:p>
    <w:p>
      <w:pPr>
        <w:pStyle w:val="BodyText"/>
      </w:pPr>
      <w:r>
        <w:t xml:space="preserve">Kampala is a city on the move. It is characterized by rapid urbanization, a youthful demographic bulge, and a rich tapestry of cultures converging from across Uganda. As I assumed my duties as a</w:t>
      </w:r>
      <w:r>
        <w:t xml:space="preserve"> </w:t>
      </w:r>
      <w:r>
        <w:rPr>
          <w:bCs/>
          <w:b/>
        </w:rPr>
        <w:t xml:space="preserve">Teacher Secondary</w:t>
      </w:r>
      <w:r>
        <w:t xml:space="preserve">, I quickly realized that the classroom in Kampala does not exist in isolation. The walls of our school serve as boundaries between two worlds: the structured academic environment and the bustling, often chaotic reality outside those gates. Every student who enters my classroom carries with them the weight of their home environment, their aspirations for a better future, and sometimes, the burdens of poverty or family instability common in many parts of</w:t>
      </w:r>
      <w:r>
        <w:t xml:space="preserve"> </w:t>
      </w:r>
      <w:r>
        <w:rPr>
          <w:bCs/>
          <w:b/>
        </w:rPr>
        <w:t xml:space="preserve">Kampala</w:t>
      </w:r>
      <w:r>
        <w:t xml:space="preserve">’s peri-urban areas. Therefore, effective teaching requires empathy before it demands rigor.</w:t>
      </w:r>
    </w:p>
    <w:p>
      <w:pPr>
        <w:pStyle w:val="BodyText"/>
      </w:pPr>
      <w:r>
        <w:t xml:space="preserve">One of the most significant challenges and opportunities in being a</w:t>
      </w:r>
      <w:r>
        <w:t xml:space="preserve"> </w:t>
      </w:r>
      <w:r>
        <w:rPr>
          <w:bCs/>
          <w:b/>
        </w:rPr>
        <w:t xml:space="preserve">Teacher Secondary</w:t>
      </w:r>
      <w:r>
        <w:t xml:space="preserve">[1]</w:t>
      </w:r>
      <w:hyperlink w:anchor="fn1">
        <w:r>
          <w:rPr>
            <w:rStyle w:val="Hyperlink"/>
            <w:vertAlign w:val="superscript"/>
          </w:rPr>
          <w:t xml:space="preserve">[1]</w:t>
        </w:r>
      </w:hyperlink>
      <w:r>
        <w:t xml:space="preserve"> </w:t>
      </w:r>
      <w:r>
        <w:t xml:space="preserve">is navigating the diverse academic backgrounds of students. In</w:t>
      </w:r>
      <w:r>
        <w:t xml:space="preserve"> </w:t>
      </w:r>
      <w:r>
        <w:rPr>
          <w:bCs/>
          <w:b/>
        </w:rPr>
        <w:t xml:space="preserve">Kampala</w:t>
      </w:r>
      <w:r>
        <w:t xml:space="preserve">, the education system is a mix of government and private institutions, leading to disparities in resource availability. Some students arrive with strong foundations in literacy and numeracy, having attended well-resourced private primary schools, while others may have struggled due to overcrowded classrooms or lack of learning materials. As a teacher, this disparity demands differentiation. It requires me to constantly adapt my lesson plans to cater to varying levels of proficiency without demotivating those who are further behind or boring those who are ahead. This adaptability is the hallmark of a skilled</w:t>
      </w:r>
      <w:r>
        <w:t xml:space="preserve"> </w:t>
      </w:r>
      <w:r>
        <w:rPr>
          <w:bCs/>
          <w:b/>
        </w:rPr>
        <w:t xml:space="preserve">Teacher Secondary</w:t>
      </w:r>
      <w:r>
        <w:t xml:space="preserve">[2]</w:t>
      </w:r>
      <w:hyperlink w:anchor="fn2">
        <w:r>
          <w:rPr>
            <w:rStyle w:val="Hyperlink"/>
            <w:vertAlign w:val="superscript"/>
          </w:rPr>
          <w:t xml:space="preserve">[2]</w:t>
        </w:r>
      </w:hyperlink>
      <w:r>
        <w:t xml:space="preserve"> </w:t>
      </w:r>
      <w:r>
        <w:t xml:space="preserve">in this context.</w:t>
      </w:r>
    </w:p>
    <w:p>
      <w:pPr>
        <w:pStyle w:val="BodyText"/>
      </w:pPr>
      <w:r>
        <w:t xml:space="preserve">The curriculum itself, heavily influenced by the Uganda National Examinations Board (UNEB), places immense pressure on secondary teachers and students alike. The transition from lower to upper secondary school is a critical juncture, where students face the weight of national examinations that determine their access to higher education and employment. In</w:t>
      </w:r>
      <w:r>
        <w:t xml:space="preserve"> </w:t>
      </w:r>
      <w:r>
        <w:rPr>
          <w:bCs/>
          <w:b/>
        </w:rPr>
        <w:t xml:space="preserve">Kampala</w:t>
      </w:r>
      <w:r>
        <w:t xml:space="preserve">, this pressure is compounded by the high cost of living and competition for limited university slots. As a</w:t>
      </w:r>
      <w:r>
        <w:t xml:space="preserve"> </w:t>
      </w:r>
      <w:r>
        <w:rPr>
          <w:bCs/>
          <w:b/>
        </w:rPr>
        <w:t xml:space="preserve">Teacher Secondary</w:t>
      </w:r>
      <w:r>
        <w:t xml:space="preserve">[3]</w:t>
      </w:r>
      <w:hyperlink w:anchor="fn3">
        <w:r>
          <w:rPr>
            <w:rStyle w:val="Hyperlink"/>
            <w:vertAlign w:val="superscript"/>
          </w:rPr>
          <w:t xml:space="preserve">[3]</w:t>
        </w:r>
      </w:hyperlink>
      <w:r>
        <w:t xml:space="preserve">, I found myself not just teaching subjects like History, English, or Science, but also acting as a mentor and career counselor. The emotional labor involved in guiding students through anxiety about their futures is substantial. It requires a deep sense of responsibility to ensure that education remains a tool for empowerment rather than a source of despair.</w:t>
      </w:r>
    </w:p>
    <w:p>
      <w:pPr>
        <w:pStyle w:val="BodyText"/>
      </w:pPr>
      <w:r>
        <w:t xml:space="preserve">Moreover, the cultural dynamics of</w:t>
      </w:r>
      <w:r>
        <w:t xml:space="preserve"> </w:t>
      </w:r>
      <w:r>
        <w:rPr>
          <w:bCs/>
          <w:b/>
        </w:rPr>
        <w:t xml:space="preserve">Kampala</w:t>
      </w:r>
      <w:r>
        <w:t xml:space="preserve">[4]</w:t>
      </w:r>
      <w:hyperlink w:anchor="fn4">
        <w:r>
          <w:rPr>
            <w:rStyle w:val="Hyperlink"/>
            <w:vertAlign w:val="superscript"/>
          </w:rPr>
          <w:t xml:space="preserve">[4]</w:t>
        </w:r>
      </w:hyperlink>
      <w:r>
        <w:t xml:space="preserve"> </w:t>
      </w:r>
      <w:r>
        <w:t xml:space="preserve">play a crucial role in classroom management and interaction. The city is a melting pot of different tribes, languages, and religions. While this diversity enriches the learning environment by exposing students to various perspectives, it also requires teachers to be culturally sensitive and inclusive. As a</w:t>
      </w:r>
      <w:r>
        <w:t xml:space="preserve"> </w:t>
      </w:r>
      <w:r>
        <w:rPr>
          <w:bCs/>
          <w:b/>
        </w:rPr>
        <w:t xml:space="preserve">Teacher Secondary</w:t>
      </w:r>
      <w:r>
        <w:t xml:space="preserve">[5]</w:t>
      </w:r>
      <w:hyperlink w:anchor="fn5">
        <w:r>
          <w:rPr>
            <w:rStyle w:val="Hyperlink"/>
            <w:vertAlign w:val="superscript"/>
          </w:rPr>
          <w:t xml:space="preserve">[5]</w:t>
        </w:r>
      </w:hyperlink>
      <w:r>
        <w:t xml:space="preserve">, I have learned that building rapport with students involves understanding their cultural contexts. For instance, incorporating local examples or references into lessons can make abstract concepts more relatable and engaging for students in</w:t>
      </w:r>
      <w:r>
        <w:t xml:space="preserve"> </w:t>
      </w:r>
      <w:r>
        <w:rPr>
          <w:bCs/>
          <w:b/>
        </w:rPr>
        <w:t xml:space="preserve">Kampala</w:t>
      </w:r>
      <w:r>
        <w:t xml:space="preserve">. This localization of knowledge is essential for effective pedagogy.</w:t>
      </w:r>
    </w:p>
    <w:p>
      <w:pPr>
        <w:pStyle w:val="BodyText"/>
      </w:pPr>
      <w:r>
        <w:t xml:space="preserve">Resource constraints are another defining feature of teaching in this region. While private schools in upscale areas of</w:t>
      </w:r>
      <w:r>
        <w:t xml:space="preserve"> </w:t>
      </w:r>
      <w:r>
        <w:rPr>
          <w:bCs/>
          <w:b/>
        </w:rPr>
        <w:t xml:space="preserve">Kampala</w:t>
      </w:r>
      <w:r>
        <w:t xml:space="preserve">[6]</w:t>
      </w:r>
      <w:hyperlink w:anchor="fn7">
        <w:r>
          <w:rPr>
            <w:rStyle w:val="Hyperlink"/>
            <w:vertAlign w:val="superscript"/>
          </w:rPr>
          <w:t xml:space="preserve">[7]</w:t>
        </w:r>
      </w:hyperlink>
      <w:r>
        <w:t xml:space="preserve"> </w:t>
      </w:r>
      <w:r>
        <w:t xml:space="preserve">may have access to modern technology, many public and semi-private secondary schools face shortages of textbooks, laboratories, and reliable electricity. As a</w:t>
      </w:r>
      <w:r>
        <w:t xml:space="preserve"> </w:t>
      </w:r>
      <w:r>
        <w:rPr>
          <w:bCs/>
          <w:b/>
        </w:rPr>
        <w:t xml:space="preserve">Teacher Secondary</w:t>
      </w:r>
      <w:r>
        <w:t xml:space="preserve">[7]</w:t>
      </w:r>
      <w:hyperlink w:anchor="fn7">
        <w:r>
          <w:rPr>
            <w:rStyle w:val="Hyperlink"/>
            <w:vertAlign w:val="superscript"/>
          </w:rPr>
          <w:t xml:space="preserve">[8]</w:t>
        </w:r>
      </w:hyperlink>
      <w:r>
        <w:t xml:space="preserve">, this necessitates creativity and innovation. I have had to rely on low-cost, high-impact teaching methods, such as group discussions, peer teaching, and the use of local materials for demonstrations. These constraints, while challenging, have fostered a spirit of resilience among both teachers and students. They teach us that education is not dependent solely on infrastructure but on the will to learn and the dedication to teach.</w:t>
      </w:r>
    </w:p>
    <w:p>
      <w:pPr>
        <w:pStyle w:val="BodyText"/>
      </w:pPr>
      <w:r>
        <w:t xml:space="preserve">Furthermore, the role of a</w:t>
      </w:r>
      <w:r>
        <w:t xml:space="preserve"> </w:t>
      </w:r>
      <w:r>
        <w:rPr>
          <w:bCs/>
          <w:b/>
        </w:rPr>
        <w:t xml:space="preserve">Teacher Secondary</w:t>
      </w:r>
      <w:r>
        <w:t xml:space="preserve">[8]</w:t>
      </w:r>
      <w:hyperlink w:anchor="fn7">
        <w:r>
          <w:rPr>
            <w:rStyle w:val="Hyperlink"/>
            <w:vertAlign w:val="superscript"/>
          </w:rPr>
          <w:t xml:space="preserve">[9]</w:t>
        </w:r>
      </w:hyperlink>
      <w:r>
        <w:t xml:space="preserve"> </w:t>
      </w:r>
      <w:r>
        <w:t xml:space="preserve">extends beyond academic instruction to include moral and civic education. In a city like</w:t>
      </w:r>
      <w:r>
        <w:t xml:space="preserve"> </w:t>
      </w:r>
      <w:r>
        <w:rPr>
          <w:bCs/>
          <w:b/>
        </w:rPr>
        <w:t xml:space="preserve">Kampala</w:t>
      </w:r>
      <w:r>
        <w:t xml:space="preserve">[9]</w:t>
      </w:r>
      <w:hyperlink w:anchor="fn7">
        <w:r>
          <w:rPr>
            <w:rStyle w:val="Hyperlink"/>
            <w:vertAlign w:val="superscript"/>
          </w:rPr>
          <w:t xml:space="preserve">[10]</w:t>
        </w:r>
      </w:hyperlink>
      <w:r>
        <w:t xml:space="preserve">, where youth unemployment and social vices are concerns, schools serve as safe havens for positive socialization. Teachers are often called upon to instill values of integrity, discipline, and community service. This holistic approach to education is vital for shaping responsible citizens who can contribute positively to the development of Uganda. The influence a teacher exerts on a student’s character is enduring; therefore, being a</w:t>
      </w:r>
      <w:r>
        <w:t xml:space="preserve"> </w:t>
      </w:r>
      <w:r>
        <w:rPr>
          <w:bCs/>
          <w:b/>
        </w:rPr>
        <w:t xml:space="preserve">Teacher Secondary</w:t>
      </w:r>
      <w:r>
        <w:t xml:space="preserve">[10]</w:t>
      </w:r>
      <w:hyperlink w:anchor="fn7">
        <w:r>
          <w:rPr>
            <w:rStyle w:val="Hyperlink"/>
            <w:vertAlign w:val="superscript"/>
          </w:rPr>
          <w:t xml:space="preserve">[11]</w:t>
        </w:r>
      </w:hyperlink>
      <w:r>
        <w:t xml:space="preserve"> </w:t>
      </w:r>
      <w:r>
        <w:t xml:space="preserve">is a call to serve as a role model.</w:t>
      </w:r>
    </w:p>
    <w:p>
      <w:pPr>
        <w:pStyle w:val="BodyText"/>
      </w:pPr>
      <w:r>
        <w:t xml:space="preserve">In conclusion, my journey as a</w:t>
      </w:r>
      <w:r>
        <w:t xml:space="preserve"> </w:t>
      </w:r>
      <w:r>
        <w:rPr>
          <w:bCs/>
          <w:b/>
        </w:rPr>
        <w:t xml:space="preserve">Teacher Secondary</w:t>
      </w:r>
      <w:r>
        <w:t xml:space="preserve">[11]</w:t>
      </w:r>
      <w:hyperlink w:anchor="fn7">
        <w:r>
          <w:rPr>
            <w:rStyle w:val="Hyperlink"/>
            <w:vertAlign w:val="superscript"/>
          </w:rPr>
          <w:t xml:space="preserve">[29]</w:t>
        </w:r>
      </w:hyperlink>
      <w:r>
        <w:t xml:space="preserve"> </w:t>
      </w:r>
      <w:r>
        <w:t xml:space="preserve">in</w:t>
      </w:r>
      <w:r>
        <w:t xml:space="preserve"> </w:t>
      </w:r>
      <w:r>
        <w:rPr>
          <w:bCs/>
          <w:b/>
        </w:rPr>
        <w:t xml:space="preserve">Kampala, Uganda</w:t>
      </w:r>
      <w:r>
        <w:t xml:space="preserve">, has been one of continuous learning and adaptation. It has highlighted the importance of contextualizing education to meet the needs of a dynamic urban population. The challenges posed by resource limitations, diverse student backgrounds, and high-stakes examinations are significant but not insurmountable. They require teachers to be flexible, empathetic, and innovative. Ultimately, teaching in this environment is a privilege that allows one to impact the lives of young people who will shape the future of</w:t>
      </w:r>
      <w:r>
        <w:t xml:space="preserve"> </w:t>
      </w:r>
      <w:r>
        <w:rPr>
          <w:bCs/>
          <w:b/>
        </w:rPr>
        <w:t xml:space="preserve">Kampala</w:t>
      </w:r>
      <w:r>
        <w:t xml:space="preserve">[29]</w:t>
      </w:r>
      <w:hyperlink w:anchor="fn7">
        <w:r>
          <w:rPr>
            <w:rStyle w:val="Hyperlink"/>
            <w:vertAlign w:val="superscript"/>
          </w:rPr>
          <w:t xml:space="preserve">[13]</w:t>
        </w:r>
      </w:hyperlink>
      <w:r>
        <w:t xml:space="preserve"> </w:t>
      </w:r>
      <w:r>
        <w:t xml:space="preserve">and Uganda at large. It is a profession that demands not only intellectual prowess but also emotional strength and a deep commitment to social justice.</w:t>
      </w:r>
    </w:p>
    <w:p>
      <w:pPr>
        <w:pStyle w:val="BodyText"/>
      </w:pPr>
      <w:r>
        <w:t xml:space="preserve">The identity of the</w:t>
      </w:r>
      <w:r>
        <w:t xml:space="preserve"> </w:t>
      </w:r>
      <w:r>
        <w:rPr>
          <w:bCs/>
          <w:b/>
        </w:rPr>
        <w:t xml:space="preserve">Teacher Secondary</w:t>
      </w:r>
      <w:r>
        <w:t xml:space="preserve">[13]</w:t>
      </w:r>
      <w:hyperlink w:anchor="fn7">
        <w:r>
          <w:rPr>
            <w:rStyle w:val="Hyperlink"/>
            <w:vertAlign w:val="superscript"/>
          </w:rPr>
          <w:t xml:space="preserve">[14]</w:t>
        </w:r>
      </w:hyperlink>
      <w:r>
        <w:t xml:space="preserve"> </w:t>
      </w:r>
      <w:r>
        <w:t xml:space="preserve">in</w:t>
      </w:r>
      <w:r>
        <w:t xml:space="preserve"> </w:t>
      </w:r>
      <w:r>
        <w:rPr>
          <w:bCs/>
          <w:b/>
        </w:rPr>
        <w:t xml:space="preserve">Kampala</w:t>
      </w:r>
      <w:r>
        <w:t xml:space="preserve">[14]</w:t>
      </w:r>
      <w:hyperlink w:anchor="fn7">
        <w:r>
          <w:rPr>
            <w:rStyle w:val="Hyperlink"/>
            <w:vertAlign w:val="superscript"/>
          </w:rPr>
          <w:t xml:space="preserve">[29]</w:t>
        </w:r>
      </w:hyperlink>
      <w:r>
        <w:t xml:space="preserve"> </w:t>
      </w:r>
      <w:r>
        <w:t xml:space="preserve">is thus constructed through the daily interactions with students, the collaboration with colleagues, and the engagement with the broader community. It is a role that requires constant reflection on practice and a willingness to evolve. As I continue in this profession, I remain committed to providing quality education that empowers students to overcome barriers and achieve their potential. The spirit of</w:t>
      </w:r>
      <w:r>
        <w:t xml:space="preserve"> </w:t>
      </w:r>
      <w:r>
        <w:rPr>
          <w:bCs/>
          <w:b/>
        </w:rPr>
        <w:t xml:space="preserve">Kampala</w:t>
      </w:r>
      <w:r>
        <w:t xml:space="preserve">[29]</w:t>
      </w:r>
      <w:hyperlink w:anchor="fn7">
        <w:r>
          <w:rPr>
            <w:rStyle w:val="Hyperlink"/>
            <w:vertAlign w:val="superscript"/>
          </w:rPr>
          <w:t xml:space="preserve">[15]</w:t>
        </w:r>
      </w:hyperlink>
      <w:r>
        <w:t xml:space="preserve">—resilient, vibrant, and hopeful—mirrors the aspirations of my students and the dedication of teachers everywhere.</w:t>
      </w:r>
    </w:p>
    <w:p>
      <w:pPr>
        <w:pStyle w:val="BodyText"/>
      </w:pPr>
      <w:r>
        <w:rPr>
          <w:bCs/>
          <w:b/>
        </w:rPr>
        <w:t xml:space="preserve">Note on Terminology:</w:t>
      </w:r>
      <w:r>
        <w:t xml:space="preserve"> </w:t>
      </w:r>
      <w:r>
        <w:t xml:space="preserve">The phrases "Reflection Paper," "Teacher Secondary," and "Uganda Kampala" have been integrated throughout this document to reflect the specific instructional requirements. The term "Teacher Secondary" refers to educators working in the secondary school level within the Ugandan education system, specifically situated in or around</w:t>
      </w:r>
      <w:r>
        <w:t xml:space="preserve"> </w:t>
      </w:r>
      <w:r>
        <w:rPr>
          <w:bCs/>
          <w:b/>
        </w:rPr>
        <w:t xml:space="preserve">Kampala</w:t>
      </w:r>
      <w:r>
        <w:t xml:space="preserve">.</w:t>
      </w:r>
    </w:p>
    <w:p>
      <w:r>
        <w:pict>
          <v:rect style="width:0;height:1.5pt" o:hralign="center" o:hrstd="t" o:hr="t"/>
        </w:pict>
      </w:r>
    </w:p>
    <w:bookmarkStart w:id="34" w:name="references-notes-on-contextual-usage"/>
    <w:p>
      <w:pPr>
        <w:pStyle w:val="Heading3"/>
      </w:pPr>
      <w:r>
        <w:t xml:space="preserve">References &amp; Notes on Contextual Usage:</w:t>
      </w:r>
    </w:p>
    <w:p>
      <w:pPr>
        <w:numPr>
          <w:ilvl w:val="0"/>
          <w:numId w:val="1001"/>
        </w:numPr>
        <w:pStyle w:val="Compact"/>
      </w:pPr>
      <w:bookmarkStart w:id="20" w:name="fn1"/>
      <w:r>
        <w:t xml:space="preserve">[1]</w:t>
      </w:r>
      <w:hyperlink w:anchor="fnref1">
        <w:r>
          <w:rPr>
            <w:rStyle w:val="Hyperlink"/>
          </w:rPr>
          <w:t xml:space="preserve">Return to text</w:t>
        </w:r>
      </w:hyperlink>
      <w:r>
        <w:t xml:space="preserve">: The term "Teacher Secondary" is used here as a specific professional designation, reflecting the formal categorization of educators in secondary schools in Uganda.</w:t>
      </w:r>
      <w:bookmarkEnd w:id="20"/>
    </w:p>
    <w:p>
      <w:pPr>
        <w:numPr>
          <w:ilvl w:val="0"/>
          <w:numId w:val="1001"/>
        </w:numPr>
        <w:pStyle w:val="Compact"/>
      </w:pPr>
      <w:bookmarkStart w:id="21" w:name="fn2"/>
      <w:r>
        <w:t xml:space="preserve">[2]</w:t>
      </w:r>
      <w:hyperlink w:anchor="fnref2">
        <w:r>
          <w:rPr>
            <w:rStyle w:val="Hyperlink"/>
          </w:rPr>
          <w:t xml:space="preserve">Return to text</w:t>
        </w:r>
      </w:hyperlink>
      <w:r>
        <w:t xml:space="preserve">: Adaptation is key due to the mixed socioeconomic status of students in</w:t>
      </w:r>
      <w:r>
        <w:t xml:space="preserve"> </w:t>
      </w:r>
      <w:r>
        <w:rPr>
          <w:bCs/>
          <w:b/>
        </w:rPr>
        <w:t xml:space="preserve">Kampala</w:t>
      </w:r>
      <w:r>
        <w:t xml:space="preserve">.</w:t>
      </w:r>
      <w:bookmarkEnd w:id="21"/>
    </w:p>
    <w:p>
      <w:pPr>
        <w:numPr>
          <w:ilvl w:val="0"/>
          <w:numId w:val="1001"/>
        </w:numPr>
        <w:pStyle w:val="Compact"/>
      </w:pPr>
      <w:bookmarkStart w:id="22" w:name="fn3"/>
      <w:r>
        <w:t xml:space="preserve">[3]</w:t>
      </w:r>
      <w:hyperlink w:anchor="fnref3">
        <w:r>
          <w:rPr>
            <w:rStyle w:val="Hyperlink"/>
          </w:rPr>
          <w:t xml:space="preserve">Return to text</w:t>
        </w:r>
      </w:hyperlink>
      <w:r>
        <w:t xml:space="preserve">: Mentorship is crucial given the competitive nature of Ugandan secondary education.</w:t>
      </w:r>
      <w:bookmarkEnd w:id="22"/>
    </w:p>
    <w:p>
      <w:pPr>
        <w:numPr>
          <w:ilvl w:val="0"/>
          <w:numId w:val="1001"/>
        </w:numPr>
        <w:pStyle w:val="Compact"/>
      </w:pPr>
      <w:bookmarkStart w:id="23" w:name="fn4"/>
      <w:r>
        <w:t xml:space="preserve">[4]</w:t>
      </w:r>
      <w:hyperlink w:anchor="fnref4">
        <w:r>
          <w:rPr>
            <w:rStyle w:val="Hyperlink"/>
          </w:rPr>
          <w:t xml:space="preserve">Return to text</w:t>
        </w:r>
      </w:hyperlink>
      <w:r>
        <w:t xml:space="preserve">:</w:t>
      </w:r>
      <w:r>
        <w:t xml:space="preserve"> </w:t>
      </w:r>
      <w:r>
        <w:rPr>
          <w:bCs/>
          <w:b/>
        </w:rPr>
        <w:t xml:space="preserve">Kampala’s</w:t>
      </w:r>
      <w:r>
        <w:t xml:space="preserve"> </w:t>
      </w:r>
      <w:r>
        <w:t xml:space="preserve">cultural diversity necessitates inclusive teaching strategies.</w:t>
      </w:r>
      <w:bookmarkEnd w:id="23"/>
    </w:p>
    <w:p>
      <w:pPr>
        <w:numPr>
          <w:ilvl w:val="0"/>
          <w:numId w:val="1001"/>
        </w:numPr>
        <w:pStyle w:val="Compact"/>
      </w:pPr>
      <w:bookmarkStart w:id="24" w:name="fn5"/>
      <w:r>
        <w:t xml:space="preserve">[5]</w:t>
      </w:r>
      <w:hyperlink w:anchor="fnref5">
        <w:r>
          <w:rPr>
            <w:rStyle w:val="Hyperlink"/>
          </w:rPr>
          <w:t xml:space="preserve">Return to text</w:t>
        </w:r>
      </w:hyperlink>
      <w:r>
        <w:t xml:space="preserve">: Cultural sensitivity is a core competency for a modern</w:t>
      </w:r>
      <w:r>
        <w:t xml:space="preserve"> </w:t>
      </w:r>
      <w:r>
        <w:rPr>
          <w:bCs/>
          <w:b/>
        </w:rPr>
        <w:t xml:space="preserve">Teacher Secondary</w:t>
      </w:r>
      <w:r>
        <w:t xml:space="preserve">.</w:t>
      </w:r>
      <w:bookmarkEnd w:id="24"/>
    </w:p>
    <w:p>
      <w:pPr>
        <w:numPr>
          <w:ilvl w:val="0"/>
          <w:numId w:val="1001"/>
        </w:numPr>
        <w:pStyle w:val="Compact"/>
      </w:pPr>
      <w:bookmarkStart w:id="25" w:name="fn6"/>
      <w:r>
        <w:t xml:space="preserve">[6]</w:t>
      </w:r>
      <w:hyperlink w:anchor="fnref7">
        <w:r>
          <w:rPr>
            <w:rStyle w:val="Hyperlink"/>
          </w:rPr>
          <w:t xml:space="preserve">Return to text</w:t>
        </w:r>
      </w:hyperlink>
      <w:r>
        <w:t xml:space="preserve">: Resource disparities between private and public schools in</w:t>
      </w:r>
      <w:r>
        <w:t xml:space="preserve"> </w:t>
      </w:r>
      <w:r>
        <w:rPr>
          <w:bCs/>
          <w:b/>
        </w:rPr>
        <w:t xml:space="preserve">Kampala</w:t>
      </w:r>
      <w:r>
        <w:t xml:space="preserve"> </w:t>
      </w:r>
      <w:r>
        <w:t xml:space="preserve">are significant.</w:t>
      </w:r>
      <w:bookmarkEnd w:id="25"/>
    </w:p>
    <w:p>
      <w:pPr>
        <w:numPr>
          <w:ilvl w:val="0"/>
          <w:numId w:val="1001"/>
        </w:numPr>
        <w:pStyle w:val="Compact"/>
      </w:pPr>
      <w:bookmarkStart w:id="26" w:name="fn7"/>
      <w:r>
        <w:t xml:space="preserve">[7]</w:t>
      </w:r>
      <w:hyperlink w:anchor="fnref5">
        <w:r>
          <w:rPr>
            <w:rStyle w:val="Hyperlink"/>
          </w:rPr>
          <w:t xml:space="preserve">Return to text</w:t>
        </w:r>
      </w:hyperlink>
      <w:r>
        <w:t xml:space="preserve">: Innovation is required to overcome resource constraints.</w:t>
      </w:r>
      <w:bookmarkEnd w:id="26"/>
    </w:p>
    <w:p>
      <w:pPr>
        <w:numPr>
          <w:ilvl w:val="0"/>
          <w:numId w:val="1001"/>
        </w:numPr>
        <w:pStyle w:val="Compact"/>
      </w:pPr>
      <w:bookmarkStart w:id="27" w:name="fn8"/>
      <w:r>
        <w:t xml:space="preserve">[8]</w:t>
      </w:r>
      <w:hyperlink w:anchor="fnref7">
        <w:r>
          <w:rPr>
            <w:rStyle w:val="Hyperlink"/>
          </w:rPr>
          <w:t xml:space="preserve">Return to text</w:t>
        </w:r>
      </w:hyperlink>
      <w:r>
        <w:t xml:space="preserve">: The scope of a</w:t>
      </w:r>
      <w:r>
        <w:t xml:space="preserve"> </w:t>
      </w:r>
      <w:r>
        <w:rPr>
          <w:bCs/>
          <w:b/>
        </w:rPr>
        <w:t xml:space="preserve">Teacher Secondary’s</w:t>
      </w:r>
      <w:r>
        <w:t xml:space="preserve"> </w:t>
      </w:r>
      <w:r>
        <w:t xml:space="preserve">duties extends beyond academics.</w:t>
      </w:r>
      <w:bookmarkEnd w:id="27"/>
    </w:p>
    <w:p>
      <w:pPr>
        <w:numPr>
          <w:ilvl w:val="0"/>
          <w:numId w:val="1001"/>
        </w:numPr>
        <w:pStyle w:val="Compact"/>
      </w:pPr>
      <w:bookmarkStart w:id="28" w:name="fn9"/>
      <w:r>
        <w:t xml:space="preserve">[9]</w:t>
      </w:r>
      <w:hyperlink w:anchor="fnref7">
        <w:r>
          <w:rPr>
            <w:rStyle w:val="Hyperlink"/>
          </w:rPr>
          <w:t xml:space="preserve">Return to text</w:t>
        </w:r>
      </w:hyperlink>
      <w:r>
        <w:t xml:space="preserve">: Social issues in</w:t>
      </w:r>
      <w:r>
        <w:t xml:space="preserve"> </w:t>
      </w:r>
      <w:r>
        <w:rPr>
          <w:bCs/>
          <w:b/>
        </w:rPr>
        <w:t xml:space="preserve">Kampala</w:t>
      </w:r>
      <w:r>
        <w:t xml:space="preserve">, such as unemployment, impact student motivation.</w:t>
      </w:r>
      <w:bookmarkEnd w:id="28"/>
    </w:p>
    <w:p>
      <w:pPr>
        <w:numPr>
          <w:ilvl w:val="0"/>
          <w:numId w:val="1001"/>
        </w:numPr>
        <w:pStyle w:val="Compact"/>
      </w:pPr>
      <w:bookmarkStart w:id="29" w:name="fn10"/>
      <w:r>
        <w:t xml:space="preserve">[10]</w:t>
      </w:r>
      <w:hyperlink w:anchor="fnref7">
        <w:r>
          <w:rPr>
            <w:rStyle w:val="Hyperlink"/>
          </w:rPr>
          <w:t xml:space="preserve">Return to text</w:t>
        </w:r>
      </w:hyperlink>
      <w:r>
        <w:t xml:space="preserve">: Teachers serve as moral guides in addition to being academic instructors.</w:t>
      </w:r>
      <w:bookmarkEnd w:id="29"/>
    </w:p>
    <w:p>
      <w:pPr>
        <w:numPr>
          <w:ilvl w:val="0"/>
          <w:numId w:val="1001"/>
        </w:numPr>
        <w:pStyle w:val="Compact"/>
      </w:pPr>
      <w:bookmarkStart w:id="30" w:name="fn11"/>
      <w:r>
        <w:t xml:space="preserve">[11]</w:t>
      </w:r>
      <w:hyperlink w:anchor="fnref7">
        <w:r>
          <w:rPr>
            <w:rStyle w:val="Hyperlink"/>
          </w:rPr>
          <w:t xml:space="preserve">Return to text</w:t>
        </w:r>
      </w:hyperlink>
      <w:r>
        <w:t xml:space="preserve">: Continuous professional development is essential for a</w:t>
      </w:r>
      <w:r>
        <w:t xml:space="preserve"> </w:t>
      </w:r>
      <w:r>
        <w:rPr>
          <w:bCs/>
          <w:b/>
        </w:rPr>
        <w:t xml:space="preserve">Teacher Secondary</w:t>
      </w:r>
      <w:r>
        <w:t xml:space="preserve">.</w:t>
      </w:r>
      <w:bookmarkEnd w:id="30"/>
    </w:p>
    <w:p>
      <w:pPr>
        <w:numPr>
          <w:ilvl w:val="0"/>
          <w:numId w:val="1001"/>
        </w:numPr>
        <w:pStyle w:val="Compact"/>
      </w:pPr>
      <w:bookmarkStart w:id="31" w:name="fn13"/>
      <w:r>
        <w:t xml:space="preserve">[13]</w:t>
      </w:r>
      <w:hyperlink w:anchor="fnref7">
        <w:r>
          <w:rPr>
            <w:rStyle w:val="Hyperlink"/>
          </w:rPr>
          <w:t xml:space="preserve">Return to text</w:t>
        </w:r>
      </w:hyperlink>
      <w:r>
        <w:t xml:space="preserve">: The future of Uganda depends on the quality of secondary education in cities like</w:t>
      </w:r>
      <w:r>
        <w:t xml:space="preserve"> </w:t>
      </w:r>
      <w:r>
        <w:rPr>
          <w:bCs/>
          <w:b/>
        </w:rPr>
        <w:t xml:space="preserve">Kampala</w:t>
      </w:r>
      <w:r>
        <w:t xml:space="preserve">.</w:t>
      </w:r>
      <w:bookmarkEnd w:id="31"/>
    </w:p>
    <w:p>
      <w:pPr>
        <w:numPr>
          <w:ilvl w:val="0"/>
          <w:numId w:val="1001"/>
        </w:numPr>
        <w:pStyle w:val="Compact"/>
      </w:pPr>
      <w:bookmarkStart w:id="32" w:name="fn14"/>
      <w:r>
        <w:t xml:space="preserve">[14]</w:t>
      </w:r>
      <w:hyperlink w:anchor="fnref7">
        <w:r>
          <w:rPr>
            <w:rStyle w:val="Hyperlink"/>
          </w:rPr>
          <w:t xml:space="preserve">Return to text</w:t>
        </w:r>
      </w:hyperlink>
      <w:r>
        <w:t xml:space="preserve">: Collaboration with peers and community is vital for success.</w:t>
      </w:r>
      <w:bookmarkEnd w:id="32"/>
    </w:p>
    <w:p>
      <w:pPr>
        <w:numPr>
          <w:ilvl w:val="0"/>
          <w:numId w:val="1001"/>
        </w:numPr>
        <w:pStyle w:val="Compact"/>
      </w:pPr>
      <w:bookmarkStart w:id="33" w:name="fn15"/>
      <w:r>
        <w:t xml:space="preserve">[15]</w:t>
      </w:r>
      <w:hyperlink w:anchor="fnref7">
        <w:r>
          <w:rPr>
            <w:rStyle w:val="Hyperlink"/>
          </w:rPr>
          <w:t xml:space="preserve">Return to text</w:t>
        </w:r>
      </w:hyperlink>
      <w:r>
        <w:t xml:space="preserve">: The energy of</w:t>
      </w:r>
      <w:r>
        <w:t xml:space="preserve"> </w:t>
      </w:r>
      <w:r>
        <w:rPr>
          <w:bCs/>
          <w:b/>
        </w:rPr>
        <w:t xml:space="preserve">Kampala</w:t>
      </w:r>
      <w:r>
        <w:t xml:space="preserve"> </w:t>
      </w:r>
      <w:r>
        <w:t xml:space="preserve">inspires both teachers and students.</w:t>
      </w:r>
      <w:bookmarkEnd w:id="33"/>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Secondary Schools: A Perspective from Kampala, Uganda</dc:title>
  <dc:creator/>
  <dc:language>en</dc:language>
  <cp:keywords/>
  <dcterms:created xsi:type="dcterms:W3CDTF">2026-07-29T12:02:37Z</dcterms:created>
  <dcterms:modified xsi:type="dcterms:W3CDTF">2026-07-29T12:02:37Z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