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fe48810b0e3c931aad07d6ca02aaf8d86b78039"/>
    <w:p>
      <w:pPr>
        <w:pStyle w:val="Heading1"/>
      </w:pPr>
      <w:r>
        <w:t xml:space="preserve">The Evolution of Pedagogy and Responsibility in Higher Education</w:t>
      </w:r>
    </w:p>
    <w:p>
      <w:pPr>
        <w:pStyle w:val="FirstParagraph"/>
      </w:pPr>
      <w:r>
        <w:t xml:space="preserve">A Reflection Paper on the Role of the University Lecturer within the Context of Indonesia Jakarta</w:t>
      </w:r>
    </w:p>
    <w:p>
      <w:pPr>
        <w:pStyle w:val="BodyText"/>
      </w:pPr>
      <w:r>
        <w:br/>
      </w:r>
    </w:p>
    <w:p>
      <w:pPr>
        <w:pStyle w:val="BodyText"/>
      </w:pPr>
      <w:r>
        <w:rPr>
          <w:bCs/>
          <w:b/>
        </w:rPr>
        <w:t xml:space="preserve">Date:</w:t>
      </w:r>
      <w:r>
        <w:t xml:space="preserve"> </w:t>
      </w:r>
      <w:r>
        <w:t xml:space="preserve">October 26, 2023</w:t>
      </w:r>
      <w:r>
        <w:br/>
      </w:r>
      <w:r>
        <w:rPr>
          <w:bCs/>
          <w:b/>
        </w:rPr>
        <w:t xml:space="preserve">Subject:</w:t>
      </w:r>
      <w:r>
        <w:t xml:space="preserve"> </w:t>
      </w:r>
      <w:r>
        <w:t xml:space="preserve">Reflections on Academic Leadership and Cultural Adaptation</w:t>
      </w:r>
    </w:p>
    <w:p>
      <w:pPr>
        <w:pStyle w:val="BodyText"/>
      </w:pPr>
      <w:r>
        <w:br/>
      </w:r>
    </w:p>
    <w:bookmarkStart w:id="20" w:name="Xb7ca7a88c3555ea60ca4580dfb3297313ab2fd8"/>
    <w:p>
      <w:pPr>
        <w:pStyle w:val="Heading3"/>
      </w:pPr>
      <w:r>
        <w:t xml:space="preserve">Introduction: The Nexus of Tradition and Modernity</w:t>
      </w:r>
    </w:p>
    <w:p>
      <w:pPr>
        <w:pStyle w:val="FirstParagraph"/>
      </w:pPr>
      <w:r>
        <w:t xml:space="preserve">In the rapidly evolving landscape of global higher education, the role of the</w:t>
      </w:r>
      <w:r>
        <w:t xml:space="preserve"> </w:t>
      </w:r>
      <w:r>
        <w:rPr>
          <w:bCs/>
          <w:b/>
        </w:rPr>
        <w:t xml:space="preserve">University Lecturer</w:t>
      </w:r>
      <w:r>
        <w:t xml:space="preserve"> </w:t>
      </w:r>
      <w:r>
        <w:t xml:space="preserve">has transcended traditional boundaries. It is no longer sufficient to merely transmit knowledge; one must now curate experiences, foster critical thinking, and navigate complex socio-cultural dynamics. This reflection paper explores my journey and evolving understanding of academic leadership specifically within the unique context of</w:t>
      </w:r>
      <w:r>
        <w:t xml:space="preserve"> </w:t>
      </w:r>
      <w:r>
        <w:rPr>
          <w:bCs/>
          <w:b/>
        </w:rPr>
        <w:t xml:space="preserve">Indonesia Jakarta</w:t>
      </w:r>
      <w:r>
        <w:t xml:space="preserve">. As Indonesia’s capital serves as the nation’s economic, cultural, and political heart, universities here face a distinct set of challenges and opportunities that differ significantly from those in Western academic institutions or even other regions within Southeast Asia. To serve effectively as a</w:t>
      </w:r>
      <w:r>
        <w:t xml:space="preserve"> </w:t>
      </w:r>
      <w:r>
        <w:rPr>
          <w:bCs/>
          <w:b/>
        </w:rPr>
        <w:t xml:space="preserve">University Lecturer</w:t>
      </w:r>
      <w:r>
        <w:t xml:space="preserve"> </w:t>
      </w:r>
      <w:r>
        <w:t xml:space="preserve">in this vibrant metropolis requires a delicate balance between international academic standards and local cultural sensibilities.</w:t>
      </w:r>
    </w:p>
    <w:p>
      <w:pPr>
        <w:pStyle w:val="BodyText"/>
      </w:pPr>
      <w:r>
        <w:br/>
      </w:r>
    </w:p>
    <w:bookmarkEnd w:id="20"/>
    <w:bookmarkStart w:id="21" w:name="X2138bfc9aee09427ff5147e12a37ee2df61d21f"/>
    <w:p>
      <w:pPr>
        <w:pStyle w:val="Heading3"/>
      </w:pPr>
      <w:r>
        <w:t xml:space="preserve">Cultural Contextualization: Navigating the "Gotong Royong" Spirit</w:t>
      </w:r>
    </w:p>
    <w:p>
      <w:pPr>
        <w:pStyle w:val="FirstParagraph"/>
      </w:pPr>
      <w:r>
        <w:t xml:space="preserve">One of the most profound realizations during my tenure as a</w:t>
      </w:r>
      <w:r>
        <w:t xml:space="preserve"> </w:t>
      </w:r>
      <w:r>
        <w:rPr>
          <w:bCs/>
          <w:b/>
        </w:rPr>
        <w:t xml:space="preserve">University Lecturer</w:t>
      </w:r>
      <w:r>
        <w:t xml:space="preserve"> </w:t>
      </w:r>
      <w:r>
        <w:t xml:space="preserve">in</w:t>
      </w:r>
      <w:r>
        <w:t xml:space="preserve"> </w:t>
      </w:r>
      <w:r>
        <w:rPr>
          <w:bCs/>
          <w:b/>
        </w:rPr>
        <w:t xml:space="preserve">Indonesia Jakarta</w:t>
      </w:r>
      <w:r>
        <w:t xml:space="preserve"> </w:t>
      </w:r>
      <w:r>
        <w:t xml:space="preserve">is the central role of culture in pedagogy. The Indonesian concept of</w:t>
      </w:r>
      <w:r>
        <w:t xml:space="preserve"> </w:t>
      </w:r>
      <w:r>
        <w:rPr>
          <w:iCs/>
          <w:i/>
        </w:rPr>
        <w:t xml:space="preserve">"Gotong Royong"</w:t>
      </w:r>
      <w:r>
        <w:t xml:space="preserve">, which translates to mutual assistance or communal work, fundamentally shapes classroom dynamics. Unlike individualistic academic cultures often found in Europe or North America, students here thrive on collaborative learning and strong interpersonal relationships. As a lecturer, I have learned that establishing rapport is not merely a soft skill but a pedagogical necessity. If the connection between the</w:t>
      </w:r>
      <w:r>
        <w:t xml:space="preserve"> </w:t>
      </w:r>
      <w:r>
        <w:rPr>
          <w:bCs/>
          <w:b/>
        </w:rPr>
        <w:t xml:space="preserve">University Lecturer</w:t>
      </w:r>
      <w:r>
        <w:t xml:space="preserve"> </w:t>
      </w:r>
      <w:r>
        <w:t xml:space="preserve">and the student is weak, knowledge retention diminishes significantly.</w:t>
      </w:r>
    </w:p>
    <w:p>
      <w:pPr>
        <w:pStyle w:val="BodyText"/>
      </w:pPr>
      <w:r>
        <w:br/>
      </w:r>
    </w:p>
    <w:p>
      <w:pPr>
        <w:pStyle w:val="BodyText"/>
      </w:pPr>
      <w:r>
        <w:t xml:space="preserve">In</w:t>
      </w:r>
      <w:r>
        <w:t xml:space="preserve"> </w:t>
      </w:r>
      <w:r>
        <w:rPr>
          <w:bCs/>
          <w:b/>
        </w:rPr>
        <w:t xml:space="preserve">Indonesia Jakarta</w:t>
      </w:r>
      <w:r>
        <w:t xml:space="preserve">, respect for hierarchy and age is deeply ingrained. Students may be hesitant to challenge authority openly or critique ideas in public forums due to cultural norms of politeness (</w:t>
      </w:r>
      <w:r>
        <w:rPr>
          <w:iCs/>
          <w:i/>
        </w:rPr>
        <w:t xml:space="preserve">"sopan santun"</w:t>
      </w:r>
      <w:r>
        <w:t xml:space="preserve">). This presents a unique challenge for fostering critical discourse, a core pillar of university education. Over time, I have adapted my teaching strategies to create safer spaces for intellectual debate. This involves breaking down formal barriers where possible while maintaining the respect inherent in the</w:t>
      </w:r>
      <w:r>
        <w:t xml:space="preserve"> </w:t>
      </w:r>
      <w:r>
        <w:rPr>
          <w:bCs/>
          <w:b/>
        </w:rPr>
        <w:t xml:space="preserve">Indonesia Jakarta</w:t>
      </w:r>
      <w:r>
        <w:t xml:space="preserve"> </w:t>
      </w:r>
      <w:r>
        <w:t xml:space="preserve">academic environment. By framing discussions as collective problem-solving rather than adversarial debates, I have seen a marked improvement in student engagement and participation.</w:t>
      </w:r>
    </w:p>
    <w:p>
      <w:pPr>
        <w:pStyle w:val="BodyText"/>
      </w:pPr>
      <w:r>
        <w:br/>
      </w:r>
    </w:p>
    <w:bookmarkEnd w:id="21"/>
    <w:bookmarkStart w:id="22" w:name="Xca79aee23867742baa4885b24b5a1bfd1afe427"/>
    <w:p>
      <w:pPr>
        <w:pStyle w:val="Heading3"/>
      </w:pPr>
      <w:r>
        <w:t xml:space="preserve">Technological Integration and Digital Equity</w:t>
      </w:r>
    </w:p>
    <w:p>
      <w:pPr>
        <w:pStyle w:val="FirstParagraph"/>
      </w:pPr>
      <w:r>
        <w:t xml:space="preserve">The post-pandemic era has accelerated the digital transformation of education across</w:t>
      </w:r>
      <w:r>
        <w:t xml:space="preserve"> </w:t>
      </w:r>
      <w:r>
        <w:rPr>
          <w:bCs/>
          <w:b/>
        </w:rPr>
        <w:t xml:space="preserve">Indonesia Jakarta</w:t>
      </w:r>
      <w:r>
        <w:t xml:space="preserve">. As a</w:t>
      </w:r>
      <w:r>
        <w:t xml:space="preserve"> </w:t>
      </w:r>
      <w:r>
        <w:rPr>
          <w:bCs/>
          <w:b/>
        </w:rPr>
        <w:t xml:space="preserve">University Lecturer</w:t>
      </w:r>
      <w:r>
        <w:t xml:space="preserve">, integrating technology is no longer optional; it is imperative. However, this integration brings forth issues of equity and access. While many students in private universities in the capital have high-speed internet and modern devices, others may rely on mobile data with limited plans or share devices within families.</w:t>
      </w:r>
    </w:p>
    <w:p>
      <w:pPr>
        <w:pStyle w:val="BodyText"/>
      </w:pPr>
      <w:r>
        <w:br/>
      </w:r>
    </w:p>
    <w:p>
      <w:pPr>
        <w:pStyle w:val="BodyText"/>
      </w:pPr>
      <w:r>
        <w:t xml:space="preserve">This disparity requires a flexible approach to curriculum design. A</w:t>
      </w:r>
      <w:r>
        <w:t xml:space="preserve"> </w:t>
      </w:r>
      <w:r>
        <w:rPr>
          <w:bCs/>
          <w:b/>
        </w:rPr>
        <w:t xml:space="preserve">University Lecturer</w:t>
      </w:r>
      <w:r>
        <w:t xml:space="preserve"> </w:t>
      </w:r>
      <w:r>
        <w:t xml:space="preserve">must ensure that learning materials are accessible via low-bandwidth platforms and mobile-friendly formats. In</w:t>
      </w:r>
      <w:r>
        <w:t xml:space="preserve"> </w:t>
      </w:r>
      <w:r>
        <w:rPr>
          <w:bCs/>
          <w:b/>
        </w:rPr>
        <w:t xml:space="preserve">Indonesia Jakarta</w:t>
      </w:r>
      <w:r>
        <w:t xml:space="preserve">, the ubiquity of apps like WhatsApp for communication has proven effective for disseminating reminders and supplementary materials. Leveraging these familiar tools bridges the gap between formal academic requirements and the digital habits of students. This adaptation highlights a crucial aspect of modern lecturing: understanding not just what is being taught, but</w:t>
      </w:r>
      <w:r>
        <w:t xml:space="preserve"> </w:t>
      </w:r>
      <w:r>
        <w:rPr>
          <w:iCs/>
          <w:i/>
        </w:rPr>
        <w:t xml:space="preserve">how</w:t>
      </w:r>
      <w:r>
        <w:t xml:space="preserve"> </w:t>
      </w:r>
      <w:r>
        <w:t xml:space="preserve">it is consumed within the local technological ecosystem.</w:t>
      </w:r>
    </w:p>
    <w:p>
      <w:pPr>
        <w:pStyle w:val="BodyText"/>
      </w:pPr>
      <w:r>
        <w:br/>
      </w:r>
    </w:p>
    <w:bookmarkEnd w:id="22"/>
    <w:bookmarkStart w:id="23" w:name="X2ada39ee09b16ed28d44f7f3f5a416648445a9b"/>
    <w:p>
      <w:pPr>
        <w:pStyle w:val="Heading3"/>
      </w:pPr>
      <w:r>
        <w:t xml:space="preserve">Social Responsibility and National Development</w:t>
      </w:r>
    </w:p>
    <w:p>
      <w:pPr>
        <w:pStyle w:val="FirstParagraph"/>
      </w:pPr>
      <w:r>
        <w:t xml:space="preserve">The mission of a</w:t>
      </w:r>
      <w:r>
        <w:t xml:space="preserve"> </w:t>
      </w:r>
      <w:r>
        <w:rPr>
          <w:bCs/>
          <w:b/>
        </w:rPr>
        <w:t xml:space="preserve">University Lecturer</w:t>
      </w:r>
      <w:r>
        <w:t xml:space="preserve"> </w:t>
      </w:r>
      <w:r>
        <w:t xml:space="preserve">extends beyond the classroom walls. In</w:t>
      </w:r>
      <w:r>
        <w:t xml:space="preserve"> </w:t>
      </w:r>
      <w:r>
        <w:rPr>
          <w:bCs/>
          <w:b/>
        </w:rPr>
        <w:t xml:space="preserve">Indonesia Jakarta</w:t>
      </w:r>
      <w:r>
        <w:t xml:space="preserve">, universities are viewed as engines of social mobility and national development. The students I teach often come from diverse socioeconomic backgrounds, with many being the first in their families to attend tertiary education. This responsibility weighs heavily on my role as an educator.</w:t>
      </w:r>
    </w:p>
    <w:p>
      <w:pPr>
        <w:pStyle w:val="BodyText"/>
      </w:pPr>
      <w:r>
        <w:br/>
      </w:r>
    </w:p>
    <w:p>
      <w:pPr>
        <w:pStyle w:val="BodyText"/>
      </w:pPr>
      <w:r>
        <w:t xml:space="preserve">I have come to realize that a</w:t>
      </w:r>
      <w:r>
        <w:t xml:space="preserve"> </w:t>
      </w:r>
      <w:r>
        <w:rPr>
          <w:bCs/>
          <w:b/>
        </w:rPr>
        <w:t xml:space="preserve">University Lecturer</w:t>
      </w:r>
      <w:r>
        <w:t xml:space="preserve"> </w:t>
      </w:r>
      <w:r>
        <w:t xml:space="preserve">acts as a mentor and advocate, not just an instructor. In the context of</w:t>
      </w:r>
      <w:r>
        <w:t xml:space="preserve"> </w:t>
      </w:r>
      <w:r>
        <w:rPr>
          <w:bCs/>
          <w:b/>
        </w:rPr>
        <w:t xml:space="preserve">Indonesia Jakarta</w:t>
      </w:r>
      <w:r>
        <w:t xml:space="preserve">, with its stark contrasts in wealth and opportunity, students need guidance on navigating professional networks and ethical leadership. Incorporating case studies related to local industries, social entrepreneurship, and community development into the curriculum has been instrumental. It grounds theoretical knowledge in the reality of life in Indonesia’s capital, making education relevant and actionable. This alignment with national goals fosters a sense of purpose among students, enhancing their motivation to excel.</w:t>
      </w:r>
    </w:p>
    <w:p>
      <w:pPr>
        <w:pStyle w:val="BodyText"/>
      </w:pPr>
      <w:r>
        <w:br/>
      </w:r>
    </w:p>
    <w:bookmarkEnd w:id="23"/>
    <w:bookmarkStart w:id="24" w:name="Xe9b073c20de33696957d81a77b79b8ae37283e1"/>
    <w:p>
      <w:pPr>
        <w:pStyle w:val="Heading3"/>
      </w:pPr>
      <w:r>
        <w:t xml:space="preserve">Professional Growth and Interdisciplinary Collaboration</w:t>
      </w:r>
    </w:p>
    <w:p>
      <w:pPr>
        <w:pStyle w:val="FirstParagraph"/>
      </w:pPr>
      <w:r>
        <w:t xml:space="preserve">The academic community in</w:t>
      </w:r>
      <w:r>
        <w:t xml:space="preserve"> </w:t>
      </w:r>
      <w:r>
        <w:rPr>
          <w:bCs/>
          <w:b/>
        </w:rPr>
        <w:t xml:space="preserve">Indonesia Jakarta</w:t>
      </w:r>
      <w:r>
        <w:t xml:space="preserve"> </w:t>
      </w:r>
      <w:r>
        <w:t xml:space="preserve">is increasingly recognizing the value of interdisciplinary research and collaboration. As a</w:t>
      </w:r>
      <w:r>
        <w:t xml:space="preserve"> </w:t>
      </w:r>
      <w:r>
        <w:rPr>
          <w:bCs/>
          <w:b/>
        </w:rPr>
        <w:t xml:space="preserve">University Lecturer</w:t>
      </w:r>
      <w:r>
        <w:t xml:space="preserve">, I have found that silos between departments can hinder innovation. Engaging with colleagues from diverse fields—such as combining insights from engineering, humanities, and business—has enriched my own teaching practice.</w:t>
      </w:r>
    </w:p>
    <w:p>
      <w:pPr>
        <w:pStyle w:val="BodyText"/>
      </w:pPr>
      <w:r>
        <w:br/>
      </w:r>
    </w:p>
    <w:p>
      <w:pPr>
        <w:pStyle w:val="BodyText"/>
      </w:pPr>
      <w:r>
        <w:t xml:space="preserve">Collaboration within</w:t>
      </w:r>
      <w:r>
        <w:t xml:space="preserve"> </w:t>
      </w:r>
      <w:r>
        <w:rPr>
          <w:bCs/>
          <w:b/>
        </w:rPr>
        <w:t xml:space="preserve">Indonesia Jakarta</w:t>
      </w:r>
      <w:r>
        <w:t xml:space="preserve">'s university sector also involves networking with local industries and government bodies. These partnerships provide students with internships and real-world projects, ensuring that the curriculum remains responsive to market needs. For a</w:t>
      </w:r>
      <w:r>
        <w:t xml:space="preserve"> </w:t>
      </w:r>
      <w:r>
        <w:rPr>
          <w:bCs/>
          <w:b/>
        </w:rPr>
        <w:t xml:space="preserve">University Lecturer</w:t>
      </w:r>
      <w:r>
        <w:t xml:space="preserve">, this means staying informed about industry trends beyond the academic journal literature. It requires active participation in regional forums and workshops, positioning oneself not just as an observer of change, but as a contributor to it.</w:t>
      </w:r>
    </w:p>
    <w:p>
      <w:pPr>
        <w:pStyle w:val="BodyText"/>
      </w:pPr>
      <w:r>
        <w:br/>
      </w:r>
    </w:p>
    <w:bookmarkEnd w:id="24"/>
    <w:bookmarkStart w:id="25" w:name="Xe7ba7b1ab89a7089ab22b2e9e61535db44b609f"/>
    <w:p>
      <w:pPr>
        <w:pStyle w:val="Heading3"/>
      </w:pPr>
      <w:r>
        <w:t xml:space="preserve">Conclusion: Commitment to Continuous Reflection</w:t>
      </w:r>
    </w:p>
    <w:p>
      <w:pPr>
        <w:pStyle w:val="FirstParagraph"/>
      </w:pPr>
      <w:r>
        <w:t xml:space="preserve">In conclusion, the experience of being a</w:t>
      </w:r>
      <w:r>
        <w:t xml:space="preserve"> </w:t>
      </w:r>
      <w:r>
        <w:rPr>
          <w:bCs/>
          <w:b/>
        </w:rPr>
        <w:t xml:space="preserve">University Lecturer</w:t>
      </w:r>
      <w:r>
        <w:t xml:space="preserve"> </w:t>
      </w:r>
      <w:r>
        <w:t xml:space="preserve">in</w:t>
      </w:r>
      <w:r>
        <w:t xml:space="preserve"> </w:t>
      </w:r>
      <w:r>
        <w:rPr>
          <w:bCs/>
          <w:b/>
        </w:rPr>
        <w:t xml:space="preserve">Indonesia Jakarta</w:t>
      </w:r>
      <w:r>
        <w:t xml:space="preserve"> </w:t>
      </w:r>
      <w:r>
        <w:t xml:space="preserve">is one of continuous adaptation and deep learning. It challenges preconceived notions about teaching and learning, demanding a culturally responsive and technologically agile approach. The role requires balancing international standards with local values, bridging digital divides, and fostering social responsibility.</w:t>
      </w:r>
    </w:p>
    <w:p>
      <w:pPr>
        <w:pStyle w:val="BodyText"/>
      </w:pPr>
      <w:r>
        <w:br/>
      </w:r>
    </w:p>
    <w:p>
      <w:pPr>
        <w:pStyle w:val="BodyText"/>
      </w:pPr>
      <w:r>
        <w:t xml:space="preserve">As I look to the future, my commitment as a</w:t>
      </w:r>
      <w:r>
        <w:t xml:space="preserve"> </w:t>
      </w:r>
      <w:r>
        <w:rPr>
          <w:bCs/>
          <w:b/>
        </w:rPr>
        <w:t xml:space="preserve">University Lecturer</w:t>
      </w:r>
      <w:r>
        <w:t xml:space="preserve"> </w:t>
      </w:r>
      <w:r>
        <w:t xml:space="preserve">remains steadfast: to empower students not only with knowledge but with the critical thinking skills and ethical grounding necessary to thrive in</w:t>
      </w:r>
      <w:r>
        <w:t xml:space="preserve"> </w:t>
      </w:r>
      <w:r>
        <w:rPr>
          <w:bCs/>
          <w:b/>
        </w:rPr>
        <w:t xml:space="preserve">Indonesia Jakarta</w:t>
      </w:r>
      <w:r>
        <w:t xml:space="preserve">'s dynamic environment. Education is a transformative process, and by reflecting on our practices, we ensure that we remain relevant, effective, and compassionate educators. The journey of a</w:t>
      </w:r>
      <w:r>
        <w:t xml:space="preserve"> </w:t>
      </w:r>
      <w:r>
        <w:rPr>
          <w:bCs/>
          <w:b/>
        </w:rPr>
        <w:t xml:space="preserve">University Lecturer</w:t>
      </w:r>
      <w:r>
        <w:t xml:space="preserve"> </w:t>
      </w:r>
      <w:r>
        <w:t xml:space="preserve">is never truly finished; it evolves with every cohort of students in the bustling heart of</w:t>
      </w:r>
      <w:r>
        <w:t xml:space="preserve"> </w:t>
      </w:r>
      <w:r>
        <w:rPr>
          <w:bCs/>
          <w:b/>
        </w:rPr>
        <w:t xml:space="preserve">Indonesia Jakarta</w:t>
      </w:r>
      <w:r>
        <w:t xml:space="preserve">.</w:t>
      </w:r>
    </w:p>
    <w:p>
      <w:pPr>
        <w:pStyle w:val="BodyText"/>
      </w:pPr>
      <w:r>
        <w:br/>
      </w:r>
    </w:p>
    <w:p>
      <w:pPr>
        <w:pStyle w:val="BodyText"/>
      </w:pPr>
      <w:r>
        <w:rPr>
          <w:iCs/>
          <w:i/>
        </w:rPr>
        <w:t xml:space="preserve">This reflection serves as a testament to the evolving identity of higher education professionals in Indonesia, emphasizing that context is key to effective pedagogy.</w:t>
      </w:r>
    </w:p>
    <w:p>
      <w:pPr>
        <w:pStyle w:val="BodyText"/>
      </w:pPr>
      <w:r>
        <w:br/>
      </w:r>
      <w:r>
        <w:br/>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2026-07-29T18:22:19Z</dcterms:created>
  <dcterms:modified xsi:type="dcterms:W3CDTF">2026-07-29T18:22:19Z</dcterms:modified>
</cp:coreProperties>
</file>

<file path=docProps/custom.xml><?xml version="1.0" encoding="utf-8"?>
<Properties xmlns="http://schemas.openxmlformats.org/officeDocument/2006/custom-properties" xmlns:vt="http://schemas.openxmlformats.org/officeDocument/2006/docPropsVTypes"/>
</file>