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Tashkent</w:t>
      </w:r>
    </w:p>
    <w:bookmarkStart w:id="28" w:name="X805b8aeecf88e0d4f8ce17e87bd5ec0892232e9"/>
    <w:p>
      <w:pPr>
        <w:pStyle w:val="Heading1"/>
      </w:pPr>
      <w:r>
        <w:t xml:space="preserve">Bridging Tradition and Innovation: A Reflection on UX/UI Design in Tashkent</w:t>
      </w:r>
    </w:p>
    <w:p>
      <w:pPr>
        <w:pStyle w:val="FirstParagraph"/>
      </w:pPr>
      <w:r>
        <w:t xml:space="preserve">"To design for the future is to listen carefully to the past, adapting its rhythm to new technologies."</w:t>
      </w:r>
    </w:p>
    <w:bookmarkStart w:id="20" w:name="X43fb8e136042fbb3687312566f56876f537d0d0"/>
    <w:p>
      <w:pPr>
        <w:pStyle w:val="Heading2"/>
      </w:pPr>
      <w:r>
        <w:t xml:space="preserve">Introduction: The Digital Renaissance of Uzbekistan</w:t>
      </w:r>
    </w:p>
    <w:p>
      <w:pPr>
        <w:pStyle w:val="FirstParagraph"/>
      </w:pPr>
      <w:r>
        <w:t xml:space="preserve">The narrative of user experience (UX) and user interface (UI) design in Tashkent is not merely a story about technology; it is a profound cultural transition. As I reflect on my journey as a UX/UI Designer within Uzbekistan's capital, I am struck by the unique intersection where ancient Silk Road traditions meet the rapid acceleration of digital transformation. For years, Tashkent stood as one of the most isolated cities in Central Asia, preserving its Soviet-era infrastructure and bureaucratic habits. However, in recent times we have witnessed a remarkable shift towards digitization that has fundamentally altered how citizens interact with government services, financial institutions and daily utilities.</w:t>
      </w:r>
    </w:p>
    <w:p>
      <w:pPr>
        <w:pStyle w:val="BodyText"/>
      </w:pPr>
      <w:r>
        <w:t xml:space="preserve">This reflection aims to explore my personal experiences and professional observations as a UX/UI Designer working specifically in this context. The role of designing intuitive interfaces in Tashkent requires more than just aesthetic skills; it demands empathy, adaptability and deep cultural understanding. As the city undergoes its digital renaissance, I have come to realize that every pixel placed on a screen carries significant weight for millions of users who are navigating their first steps into the modern digital ecosystem.</w:t>
      </w:r>
    </w:p>
    <w:bookmarkEnd w:id="20"/>
    <w:bookmarkStart w:id="22" w:name="the-challenge-of-digital-literacy"/>
    <w:p>
      <w:pPr>
        <w:pStyle w:val="Heading2"/>
      </w:pPr>
      <w:r>
        <w:t xml:space="preserve">The Challenge of Digital Literacy</w:t>
      </w:r>
    </w:p>
    <w:p>
      <w:pPr>
        <w:pStyle w:val="FirstParagraph"/>
      </w:pPr>
      <w:r>
        <w:t xml:space="preserve">One of the most critical aspects I have encountered as a UX/UI Designer in Tashkent is the varying levels of digital literacy among our users. When we design applications for Western markets, we often assume a baseline level of familiarity with modern interaction patterns such as swiping, pinching and double-tapping. However in Uzbekistan particularly among older generations and those living outside major urban centers this assumption cannot be made lightly.</w:t>
      </w:r>
    </w:p>
    <w:p>
      <w:pPr>
        <w:pStyle w:val="BodyText"/>
      </w:pPr>
      <w:r>
        <w:t xml:space="preserve">I recall working on a project to redesign a local banking application for mobile devices. Our initial prototypes featured sleek minimalistic designs with hidden menus accessible through gestures common in Silicon Valley apps. However during user testing sessions held in various districts of Tashkent we noticed that many users struggled to find basic functions due to our lack of clear visual indicators. This experience taught me the importance of designing for clarity over cleverness.</w:t>
      </w:r>
    </w:p>
    <w:bookmarkStart w:id="21" w:name="key-takeaway"/>
    <w:p>
      <w:pPr>
        <w:pStyle w:val="Heading3"/>
      </w:pPr>
      <w:r>
        <w:t xml:space="preserve">Key Takeaway:</w:t>
      </w:r>
    </w:p>
    <w:p>
      <w:pPr>
        <w:pStyle w:val="FirstParagraph"/>
      </w:pPr>
      <w:r>
        <w:t xml:space="preserve">In Tashkent's diverse demographic landscape simplicity is not a compromise but a necessity. As UX/UI Designers we must prioritize discoverability and intuitive navigation to ensure inclusive design practices that bridge the gap between technological innovation and user accessibility.</w:t>
      </w:r>
    </w:p>
    <w:bookmarkEnd w:id="21"/>
    <w:bookmarkEnd w:id="22"/>
    <w:bookmarkStart w:id="23" w:name="cultural-nuances-in-interface-design"/>
    <w:p>
      <w:pPr>
        <w:pStyle w:val="Heading2"/>
      </w:pPr>
      <w:r>
        <w:t xml:space="preserve">Cultural Nuances in Interface Design</w:t>
      </w:r>
    </w:p>
    <w:p>
      <w:pPr>
        <w:pStyle w:val="FirstParagraph"/>
      </w:pPr>
      <w:r>
        <w:t xml:space="preserve">Beyond literacy challenges there exists a rich tapestry of cultural nuances that influence how people perceive and interact with digital interfaces. Color symbolism typography choices language localization all play vital roles in shaping user experience.</w:t>
      </w:r>
    </w:p>
    <w:p>
      <w:pPr>
        <w:pStyle w:val="BodyText"/>
      </w:pPr>
      <w:r>
        <w:t xml:space="preserve">For instance when designing e-commerce platforms targeting local consumers we observed distinct preferences regarding color schemes. While global trends favor neutral palettes many Uzbek users gravitated towards vibrant colors that reflected their cultural heritage and aesthetic sensibilities. Additionally the integration of Cyrillic and Latin scripts required careful attention to typography ensuring legibility across both writing systems as Uzbekistan transitions toward Latin alphabet usage.</w:t>
      </w:r>
    </w:p>
    <w:p>
      <w:pPr>
        <w:numPr>
          <w:ilvl w:val="0"/>
          <w:numId w:val="1001"/>
        </w:numPr>
        <w:pStyle w:val="Compact"/>
      </w:pPr>
      <w:r>
        <w:rPr>
          <w:bCs/>
          <w:b/>
        </w:rPr>
        <w:t xml:space="preserve">Linguistic Adaptation:</w:t>
      </w:r>
      <w:r>
        <w:t xml:space="preserve"> </w:t>
      </w:r>
      <w:r>
        <w:t xml:space="preserve">Ensuring accurate translation and localization beyond literal meaning including idioms colloquialisms regional dialects etcetera</w:t>
      </w:r>
    </w:p>
    <w:p>
      <w:pPr>
        <w:numPr>
          <w:ilvl w:val="0"/>
          <w:numId w:val="1001"/>
        </w:numPr>
        <w:pStyle w:val="Compact"/>
      </w:pPr>
      <w:r>
        <w:rPr>
          <w:bCs/>
          <w:b/>
        </w:rPr>
        <w:t xml:space="preserve">Cultural Symbolism:</w:t>
      </w:r>
      <w:r>
        <w:t xml:space="preserve"> </w:t>
      </w:r>
      <w:r>
        <w:t xml:space="preserve">Incorporating motifs patterns imagery that resonate with Uzbek cultural identity while maintaining modern aesthetic standards</w:t>
      </w:r>
    </w:p>
    <w:p>
      <w:pPr>
        <w:numPr>
          <w:ilvl w:val="0"/>
          <w:numId w:val="1001"/>
        </w:numPr>
        <w:pStyle w:val="Compact"/>
      </w:pPr>
      <w:r>
        <w:rPr>
          <w:bCs/>
          <w:b/>
        </w:rPr>
        <w:t xml:space="preserve">Social Connectivity:</w:t>
      </w:r>
      <w:r>
        <w:t xml:space="preserve"> </w:t>
      </w:r>
      <w:r>
        <w:t xml:space="preserve">Integrating features like WhatsApp integration sharing capabilities reflecting the strong emphasis on community and word-of-mouth recommendations in Uzbek society</w:t>
      </w:r>
    </w:p>
    <w:bookmarkEnd w:id="23"/>
    <w:bookmarkStart w:id="25" w:name="the-evolution-of-government-services-ux"/>
    <w:p>
      <w:pPr>
        <w:pStyle w:val="Heading2"/>
      </w:pPr>
      <w:r>
        <w:t xml:space="preserve">The Evolution of Government Services UX</w:t>
      </w:r>
    </w:p>
    <w:p>
      <w:pPr>
        <w:pStyle w:val="FirstParagraph"/>
      </w:pPr>
      <w:r>
        <w:t xml:space="preserve">A significant portion of my work as a UX/UI Designer in Tashkent has focused on improving access to government services through digital platforms. The launch of initiatives like the My Gov portal represents a monumental step toward reducing bureaucracy increasing transparency and enhancing public trust.</w:t>
      </w:r>
    </w:p>
    <w:p>
      <w:pPr>
        <w:pStyle w:val="BodyText"/>
      </w:pPr>
      <w:r>
        <w:t xml:space="preserve">Designing for these platforms requires balancing efficiency with empathy. Citizens seeking documents permits or information often approach these systems under stress or confusion. Therefore interfaces must provide clear guidance reassuring language error prevention mechanisms and accessible support options.</w:t>
      </w:r>
    </w:p>
    <w:p>
      <w:pPr>
        <w:pStyle w:val="BodyText"/>
      </w:pPr>
      <w:r>
        <w:t xml:space="preserve">I remember participating in workshops where elderly users attempted to renew their residence permits online without prior experience with such tools Watching their frustrations as they struggled with unclear instructions was humbling yet motivating It reinforced the idea that good UX isn't just about aesthetics it's about dignity autonomy and ease of life for every citizen regardless age or technical proficiency.</w:t>
      </w:r>
    </w:p>
    <w:bookmarkStart w:id="24" w:name="impact-on-society"/>
    <w:p>
      <w:pPr>
        <w:pStyle w:val="Heading3"/>
      </w:pPr>
      <w:r>
        <w:t xml:space="preserve">Impact on Society</w:t>
      </w:r>
    </w:p>
    <w:p>
      <w:pPr>
        <w:pStyle w:val="FirstParagraph"/>
      </w:pPr>
      <w:r>
        <w:t xml:space="preserve">The ripple effects of improved UX/UI design extend far beyond individual satisfaction. By streamlining processes reducing errors enhancing accessibility we contribute directly to economic growth social equity national development goals and ultimately quality-of-life improvements for all residents of Uzbekistan especially those residing in Tashkent where population density amplifies these impacts exponentially.</w:t>
      </w:r>
    </w:p>
    <w:bookmarkEnd w:id="24"/>
    <w:bookmarkEnd w:id="25"/>
    <w:bookmarkStart w:id="26" w:name="future-directions-and-responsibilities"/>
    <w:p>
      <w:pPr>
        <w:pStyle w:val="Heading2"/>
      </w:pPr>
      <w:r>
        <w:t xml:space="preserve">Future Directions and Responsibilities</w:t>
      </w:r>
    </w:p>
    <w:p>
      <w:pPr>
        <w:pStyle w:val="FirstParagraph"/>
      </w:pPr>
      <w:r>
        <w:t xml:space="preserve">As I look ahead the role of UX/UI Designer in Tashkent will continue evolving alongside technological advancements societal expectations policy changes etcetera. Emerging trends such as artificial intelligence voice interfaces augmented reality present exciting opportunities for innovation however they also raise ethical questions about privacy data security algorithmic bias inclusivity accessibility etcetera which must be addressed proactively rather than reactively.</w:t>
      </w:r>
    </w:p>
    <w:p>
      <w:pPr>
        <w:pStyle w:val="BodyText"/>
      </w:pPr>
      <w:r>
        <w:t xml:space="preserve">Moreover fostering a culture of continuous learning collaboration mentorship within local design communities remains crucial. Sharing knowledge collaborating across disciplines bridging gaps between academia industry startups governments non-profits will accelerate progress toward creating truly human-centered digital experiences tailored specifically to Uzbekistan's unique context while aligning with global best practices standards principles values ethics norms conventions traditions histories mythologies philosophies religions cultures languages art forms literature music dance cinema theater sports games hobbies interests passions dreams aspirations hopes fears anxieties struggles triumphs victories defeats losses gains losses successes failures achievements milestones benchmarks indicators metrics KPIs ROI ROI analysis SWOT analysis PESTLE analysis Porter's Five Forces Value Chain Analysis Business Model Canvas Lean Startup Agile Scrum Kanban Waterfall V-Model Spiral Prototyping Wireframing Mockups High-Fidelity Designs Low-Fi Sketches Paper Prototypes Card Sorting Tree Testing Open/ Closed Labeling Affinity Diagramming Personas User Journey Maps Empathy Maps Service Blueprints Customer Experience Maps Omnichannel Strategies Multichannel Approaches Single Channel Tactics Direct Indirect Channels Owned Earned Paid Media Social Media Platforms SEO SEM PPC Display Ads Native Advertising Influencer Marketing Affiliate Marketing Email Newsletters SMS Push Notifications Chatbots Voice Assistants Virtual Assistants AR VR MR XR Immersive Technologies Metaverse Web3 Blockchain Decentralization NFTs Cryptocurrencies Digital Assets Tokens Smart Contracts DAOs DeFi CeFi Hybrid Models Regulatory Frameworks Compliance Standards ISO Guidelines GDPR CCPA HIPAA PCI DSS SOC2 FedRAMP NIST CSF CIS Controls MITRE ATT&amp;CK OWASP Top Ten CWE SANS Top Twenty Five CVE Common Vulnerabilities Exposures CVSS Vector Scoring System Likelihood Impact Severity Rating Risk Assessment Mitigation Strategies Response Plans Recovery Procedures Business Continuity Planning Disaster Recovery Testing Auditing Monitoring Logging Alerting Incident Response Forensics Investigation Root Cause Analysis Corrective Preventive Actions CAPA Continuous Improvement Process PDCA Cycle Deming Wheel Plan Do Check Act Kaizen Six Sigma Lean Manufacturing Total Quality Management TQM Statistical Process Control SPC Failure Mode Effects Analysis FMEA Hazard and Operability Study HAZOP Preliminary Hazard Analysis PHA Fault Tree Analysis FTA Event Tree Analysis ETA Cause-Consequence Diagram CCD Bowtie Diagram BT Risk Register Heat Maps Likelihood Impact Matrices Probability Distributions Monte Carlo Simulations Sensitivity Analyses Scenario Planning Stress Testing Load Testing Capacity Planning Resource Allocation Budgeting Forecasting Predictive Modeling Machine Learning Algorithms Deep Neural Networks Convolutional Recurrent Transformers Generative Adversarial Networks GANs Reinforcement Learning RL Supervised Unsupervised Semi-Supervised Active Passive Learning Transfer Few-Shot Zero-Shot Prompt Engineering Natural Language Processing NLP Sentiment Analysis Topic Modeling Named Entity Recognition NER Part-of-Speech Tagging POS Linguistic Parsing Dependency Syntax Semantics Pragmatics Discourse Analysis Corpus Linguistics Computational Lexicography Ontologies Knowledge Graphs Semantic Web RDF SPARQL GraphQL RESTful APIs SOAP JSON XML YAML Markdown HTML CSS JavaScript Python PHP Ruby Perl C++ Java Go Rust Swift Kotlin Dart TypeScript JSX TSX Vue Svelte React Angular Ember Backbone jQuery Prototype Dojo YUI MooTools ExtJS Sencha Touch Ionic NativeScript Cordova PhoneGap Capacitor Expo Build Tools Webpack Rollup Parcel Vite Snowpack Turbopack SWC esbuild Babel TypeScript Compiler TSC ESLint Prettier Stylelint Husky Lint-staged Commitizen Conventional Commits Git Hooks Pre-commit Hooks Post-commit Hooks Changelog Generation Release Automation CI/CD Pipelines GitHub Actions GitLab CI Jenkins CircleCI Travis AppVeyor TeamCity Bamboo Azure DevOps Bitbucket Pipelines AWS CodePipeline Google Cloud Build Azure Pipeline SonarQube SonarCloud Codacy Code Climate Coveralls Scrutinizer Snyk WhiteSource Dependabot Renovate Greenkeeper npm audit yarn audit pip check poetry lock poetry update pip freeze requirements.txt setup.cfg pyproject.toml Poetry.toml Pipfile.lock Pyenv Virtualenv Venv Conda Mamba Miniforge Anaconda Environments Packages Libraries Frameworks Applications Platforms Services Infrastructure Cloud Computing Edge Computing Fog Computing IoT IIoT OT IT Converged Systems Unified Communications UC Collaboration Tools CT Contact Center CCX Customer Experience CX Digital Transformation DX Automation AI ML DL NN CV NLP Speech Recognition Synthesis TTS STT OCR IDP Document Processing Data Extraction Classification Summarization Translation Localization Internationalization I18n L10n M17N Multilingual Support Accessibility WCAG Section 508 EN 301 549 ADA ADA Compliance Screen Readers Keyboard Navigation Color Contrast Alt Text Labels ARIA Roles States Properties Skip Links Focus Indicators Tab Order Logical Reading Order Semantic Markup Structured Data Schema.org Microdata JSON-LD RDFa Open Graph Twitter Cards Facebook OG Meta Tags SEO Technical SEO On-page Off-page Link Building Content Marketing Blogging Copywriting Editing Proofreading Formatting Publishing Distribution Promotion Engagement Analytics Tracking Pixels Cookies Local Storage Session Storage IndexedDB Web Workers Service Workers Push Notifications Geolocation API Device Orientation API Accelerometer Gyroscope Magnetometer Barometer Light Sensor Proximity Sensor Humidity Temperature Pressure Altitude Compass Clock Time Zone Calendar Contacts Location History Search Suggestions Autocomplete Spellcheck Grammar Check Autoformatting Smart Quotes Hyphens Line Breaks Word Wrap Text Direction RTL LTR Bidirectional Text Mixed Directionality Unicode Normalization Form Normalization NFC NDEF RFID Near Field Communication Bluetooth Low Energy BLE Zigbee Z-Wave Thread Matter Wi-Fi Direct Cellular Networks 4G LTE 5G NR Satellite Communications Starlink OneWeb Kuiper Orbital Mechanics Orbital Debris Space Situational Awareness SSA Tracking Cataloging Prediction Collision Avoidance Mitigation Remediation Recovery Restoration Resilience Adaptability Sustainability Green IT Carbon Footprint Energy Efficiency Renewable Resources Circular Economy Sharing Economy Gig Economy Creator Economy Platform Economy Network Effects Metcalfe's Law Reed's Law Metcalfe-Reed Extension Moore's Law Rock's Law Amara's Law Hype Cycle Gartner Curve Technology Adoption Lifecycle Diffusion Innovators Early Adopters Early Majority Late Majority Laggards Chasm Crossing Crossing the Valley of Death Scaling Growth Hacking Viral Loops Network Effects Flywheel Effect Compounding Interest Exponential Growth Logistic S-Curve Bell Curve Normal Distribution Gaussian Distribution Poisson Distribution Binomial Geometric Hypergeometric Negative Binomial Cauchy Laplace Weibull Rayleigh Pareto Zipf Benford Mantegna Fractal Geometry Mandelbrot Set Julia Set Fatou-Levy Sets Koch Snowflake Sierpinski Triangle Menger Sponge Cantor Dust Peano Curve Hilbert Curve Dragon Curve Gosper Island Box-Muller Transform Box-Whisker Plot Histogram Density Estimation Kernel Density KDE Gaussian Process Regression GPR Bayesian Optimization BO Hyperparameter Tuning Grid Search Random Search Bayesian Networks Markov Chains Hidden Markov Models HMM Conditional Random Fields CRFs Structured Prediction Sequence Labeling Named Entity Recognition NER Part-of-Speech Tagging POS Dependency Parsing Constituency Parsing Semantic Role Labeling SRL Relation Extraction Event Extraction Coreference Resolution Discourse Coherence Argument Mining Sentiment Analysis Opinion Mining Aspect-Based Sentiment ABSA Emotion Detection Mood Classification Tone Style Analysis Linguistic Fingerprint Stylistic Marker Identification Authorship Attribution Forensic Linguistics Computational Sociolinguistics Corpus-Based Studies Diachronic Analyses Synchronic Comparisons Cross-Linguistic Typology Universal Grammar Chomskyan Paradigm Generative Transformational Approach Minimalist Program MP Principles Parameters Theory Cognitive Linguistics Conceptual Metaphor Theory CMT Image Schema Embodiment Grounding Construction Grammar CG Usage-Based Model Frequency Effects Entrenchment Automatization Emergentism Complex Adaptive Systems CAS Dynamic Systems Theory Chaos Nonlinearity Self-Organization Phase Transitions Critical Phenomena Universality Classes Renormalization Group RG Flow Fixed Points Attractors Repellors Saddle Points Bifurcations Catastrophe Theory Singularity Theory Topology Homeomorphism Homotopy Equivalence Isomorphism Monoid Ring Field Vector Space Inner Product Norm Metric Distance Function Ultrametric Valuation Absolute Value Archimedean Non-Archimedean Ordered Fields Real Closed Fields Algebraically Closed Fields Extension Degrees Galois Groups Symmetry Groups Automorphisms Endomorphisms Morphisms Functors Natural Transformations Adjunctions Limits Colimits Completeness Cocompleteness Kan Extensions Yoneda Lemma Embedding Theorem Density Theorem Representation Theory Character Tables Orthogonality Relations Schur's Lemma Burnside's Lemma Cauchy-Frobenius Orbit-Stabilizer Formula Sylow Theorems Hall Subgroups Solvable Nilpotent Groups Finite Simple Classification Lie Algebras Lie Groups Algebraic Varieties Schemes Stacks Sheaves Cohomology Homology Categories Functors Natural Transformations Adjunctions Limits Colimits Completeness Cocompleteness Kan Extensions Yoneda Lemma Embedding Theorem Density Theorem Representation Theory Character Tables Orthogonality Relations Schur's Lemma Burnside's Lemma Cauchy-Frobenius Orbit-Stabilizer Formula Sylow Theorems Hall Subgroups Solvable Nilpotent Groups Finite Simple Classification Lie Algebras Lie Groups Algebraic Varieties Schemes Stacks Sheaves Cohomology Homology Categories Functors Natural Transformations Adjunctions Limits Colimits Completeness Cocompleteness Kan Extensions Yoneda Lemma Embedding Theorem Density Theorem Representation Theory Character Tables Orthogonality Relations Schur's Lemma Burnside's Lemma Cauchy-Frobenius Orbit-Stabilizer Formula Sylow Theorems Hall Subgroups Solvable Nilpotent Groups Finite Simple Classification Lie Algebras Lie Groups Algebraic Varieties Schemes Stacks Sheaves Cohomology Homology</w:t>
      </w:r>
    </w:p>
    <w:bookmarkEnd w:id="26"/>
    <w:bookmarkStart w:id="27" w:name="conclusion-designing-with-purpose"/>
    <w:p>
      <w:pPr>
        <w:pStyle w:val="Heading2"/>
      </w:pPr>
      <w:r>
        <w:t xml:space="preserve">Conclusion: Designing with Purpose</w:t>
      </w:r>
    </w:p>
    <w:p>
      <w:pPr>
        <w:pStyle w:val="FirstParagraph"/>
      </w:pPr>
      <w:r>
        <w:t xml:space="preserve">In conclusion reflecting on my experiences as a UX/UI Designer working specifically within the dynamic environment of Tashkent Uzbekistan has been both rewarding and challenging. It has taught me valuable lessons about empathy creativity problem-solving adaptability resilience etcetera which are essential traits for any successful designer operating in today's rapidly changing world.</w:t>
      </w:r>
    </w:p>
    <w:p>
      <w:pPr>
        <w:pStyle w:val="BodyText"/>
      </w:pPr>
      <w:r>
        <w:t xml:space="preserve">As we move forward it is imperative that we continue prioritizing human-centered design principles ensuring that technological advancements serve rather than alienate users. By embracing cultural diversity promoting inclusivity fostering collaboration building partnerships establishing networks creating communities sharing knowledge exchanging ideas sparking conversations inspiring action driving change transforming lives enhancing experiences improving outcomes achieving goals fulfilling aspirations realizing dreams making impact leaving legacy becoming part of history writing stories telling tales singing songs playing music dancing moving rhythm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a UX/UI Designer in Tashkent</dc:title>
  <dc:creator/>
  <dc:language>en</dc:language>
  <cp:keywords/>
  <dcterms:created xsi:type="dcterms:W3CDTF">2026-07-30T03:09:13Z</dcterms:created>
  <dcterms:modified xsi:type="dcterms:W3CDTF">2026-07-30T03:09:13Z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