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Iraq</w:t>
      </w:r>
      <w:r>
        <w:t xml:space="preserve"> </w:t>
      </w:r>
      <w:r>
        <w:t xml:space="preserve">Baghdad</w:t>
      </w:r>
    </w:p>
    <w:bookmarkStart w:id="27" w:name="Xc0b76bddabf9dadb930709b9d72e09c9215bc52"/>
    <w:p>
      <w:pPr>
        <w:pStyle w:val="Heading1"/>
      </w:pPr>
      <w:r>
        <w:t xml:space="preserve">The Role and Evolution of the Academic Researcher in Iraq Baghdad</w:t>
      </w:r>
    </w:p>
    <w:p>
      <w:pPr>
        <w:pStyle w:val="FirstParagraph"/>
      </w:pPr>
      <w:r>
        <w:t xml:space="preserve">A Comprehensive Analysis of Scholarly Contributions, Challenges, and Future Directions in the Iraqi Context</w:t>
      </w:r>
    </w:p>
    <w:p>
      <w:pPr>
        <w:pStyle w:val="BodyText"/>
      </w:pPr>
      <w:r>
        <w:rPr>
          <w:bCs/>
          <w:b/>
        </w:rPr>
        <w:t xml:space="preserve">Abstract:</w:t>
      </w:r>
      <w:r>
        <w:br/>
      </w:r>
      <w:r>
        <w:t xml:space="preserve">This paper examines the critical role of the academic researcher within the higher education and scientific landscape of Iraq Baghdad. It explores how these scholars navigate historical disruptions to contribute to national reconstruction, cultural preservation, and modern scientific advancement. The document highlights specific methodologies employed by researchers in Baghdad, addresses systemic challenges such as resource scarcity and brain drain, and proposes strategic frameworks for enhancing research output. By focusing on the unique socio-political context of Iraq Baghdad, this study underscores the resilience of academic communities and their potential to drive sustainable development through rigorous inquiry.</w:t>
      </w:r>
    </w:p>
    <w:bookmarkStart w:id="20" w:name="introduction"/>
    <w:p>
      <w:pPr>
        <w:pStyle w:val="Heading2"/>
      </w:pPr>
      <w:r>
        <w:t xml:space="preserve">1. Introduction</w:t>
      </w:r>
    </w:p>
    <w:p>
      <w:pPr>
        <w:pStyle w:val="FirstParagraph"/>
      </w:pPr>
      <w:r>
        <w:t xml:space="preserve">The intellectual heritage of Iraq is deep-rooted, dating back to the ancient Mesopotamian civilizations that laid the foundations for mathematics, astronomy, and literature. In the contemporary era, this legacy continues through modern academic institutions situated in Baghdad, the capital city and primary hub of educational activity in Iraq. The academic researcher serves as a pivotal agent of change within this system. In Iraq Baghdad, these scholars are not merely purveyors of knowledge but are essential architects of national reconstruction and social cohesion.</w:t>
      </w:r>
    </w:p>
    <w:p>
      <w:pPr>
        <w:pStyle w:val="BodyText"/>
      </w:pPr>
      <w:r>
        <w:t xml:space="preserve">The environment for an academic researcher in Iraq Baghdad is complex and multifaceted. Unlike stable Western universities, institutions in the region have faced decades of conflict, sanctions, political instability, and infrastructure degradation. Despite these formidable obstacles, the commitment to scholarly pursuit remains strong among faculty members and graduate students in Baghdad's universities. This paper aims to provide a detailed overview of how academic researchers operate within this context, analyzing their methodologies, contributions to local society via research projects that address regional issues such as water scarcity and urban planning.</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state of academia in Iraq Baghdad one must look at its historical trajectory. Throughout the 20th century Baghdad was a vibrant center of learning with strong ties to global academic communities. However, political upheavals severely disrupted these networks during the late 1980s and early 2000s many experienced researchers left their positions or emigrated leading to significant gaps in specialized knowledge fields.</w:t>
      </w:r>
    </w:p>
    <w:p>
      <w:pPr>
        <w:pStyle w:val="BodyText"/>
      </w:pPr>
      <w:r>
        <w:t xml:space="preserve">In response recent years have seen concerted efforts by the Iraqi Ministry of Higher Education and Scientific Research (MoHESR) to rebuild these capacities. Universities such as the University of Baghdad, Al-Mustansiriya University, and Al-Nahrain University play central roles in coordinating research initiatives. For an academic researcher working today in Iraq Baghdad this institutional framework provides both support and bureaucratic hurdles. While grants are increasingly available for applied sciences humanities researchers often struggle with limited funding opportunities specific to social science inquiries.</w:t>
      </w:r>
    </w:p>
    <w:bookmarkEnd w:id="21"/>
    <w:bookmarkStart w:id="22" w:name="methodologies-and-research-focus-areas"/>
    <w:p>
      <w:pPr>
        <w:pStyle w:val="Heading2"/>
      </w:pPr>
      <w:r>
        <w:t xml:space="preserve">3. Methodologies and Research Focus Areas</w:t>
      </w:r>
    </w:p>
    <w:p>
      <w:pPr>
        <w:pStyle w:val="FirstParagraph"/>
      </w:pPr>
      <w:r>
        <w:t xml:space="preserve">The scope of research conducted by academic scholars in Iraq Baghdad is broad reflecting the diverse needs of society at large. Key areas include:</w:t>
      </w:r>
    </w:p>
    <w:p>
      <w:pPr>
        <w:numPr>
          <w:ilvl w:val="0"/>
          <w:numId w:val="1001"/>
        </w:numPr>
        <w:pStyle w:val="Compact"/>
      </w:pPr>
      <w:r>
        <w:rPr>
          <w:bCs/>
          <w:b/>
        </w:rPr>
        <w:t xml:space="preserve">Agricultural Sciences:</w:t>
      </w:r>
      <w:r>
        <w:t xml:space="preserve"> </w:t>
      </w:r>
      <w:r>
        <w:t xml:space="preserve">Given Iraq's reliance on agriculture and its vulnerability to climate change, researchers focus heavily on sustainable farming techniques suited to arid environments.</w:t>
      </w:r>
    </w:p>
    <w:p>
      <w:pPr>
        <w:numPr>
          <w:ilvl w:val="0"/>
          <w:numId w:val="1001"/>
        </w:numPr>
        <w:pStyle w:val="Compact"/>
      </w:pPr>
      <w:r>
        <w:rPr>
          <w:bCs/>
          <w:b/>
        </w:rPr>
        <w:t xml:space="preserve">Archaeology and History:</w:t>
      </w:r>
      <w:r>
        <w:t xml:space="preserve"> </w:t>
      </w:r>
      <w:r>
        <w:t xml:space="preserve">Scholars continue excavations and digital preservation efforts related to ancient Sumerian Babylonian Assyrian heritage sites located throughout the country.</w:t>
      </w:r>
    </w:p>
    <w:p>
      <w:pPr>
        <w:numPr>
          <w:ilvl w:val="0"/>
          <w:numId w:val="1001"/>
        </w:numPr>
        <w:pStyle w:val="Compact"/>
      </w:pPr>
      <w:r>
        <w:rPr>
          <w:bCs/>
          <w:b/>
        </w:rPr>
        <w:t xml:space="preserve">Educational Reform:</w:t>
      </w:r>
      <w:r>
        <w:t xml:space="preserve"> </w:t>
      </w:r>
      <w:r>
        <w:t xml:space="preserve">There is substantial interest among academics in developing new pedagogical models that promote critical thinking over rote memorization.</w:t>
      </w:r>
    </w:p>
    <w:p>
      <w:pPr>
        <w:numPr>
          <w:ilvl w:val="0"/>
          <w:numId w:val="1001"/>
        </w:numPr>
        <w:pStyle w:val="Compact"/>
      </w:pPr>
      <w:r>
        <w:rPr>
          <w:bCs/>
          <w:b/>
        </w:rPr>
        <w:t xml:space="preserve">Engineering and Technology:</w:t>
      </w:r>
      <w:r>
        <w:t xml:space="preserve"> </w:t>
      </w:r>
      <w:r>
        <w:t xml:space="preserve">Efforts are underway to modernize infrastructure including water treatment plants renewable energy systems etcetera through collaborative projects between local universities international partners.</w:t>
      </w:r>
    </w:p>
    <w:p>
      <w:pPr>
        <w:pStyle w:val="FirstParagraph"/>
      </w:pPr>
      <w:r>
        <w:t xml:space="preserve">Much of this work involves interdisciplinary approaches combining traditional methods with emerging technologies like GIS mapping artificial intelligence data analytics. Such innovations allow Iraqi researchers compete globally while addressing localized problems effectively.</w:t>
      </w:r>
    </w:p>
    <w:bookmarkEnd w:id="22"/>
    <w:bookmarkStart w:id="23" w:name="challenges-facing-academic-researchers"/>
    <w:p>
      <w:pPr>
        <w:pStyle w:val="Heading2"/>
      </w:pPr>
      <w:r>
        <w:t xml:space="preserve">4. Challenges Facing Academic Researchers</w:t>
      </w:r>
    </w:p>
    <w:p>
      <w:pPr>
        <w:pStyle w:val="FirstParagraph"/>
      </w:pPr>
      <w:r>
        <w:t xml:space="preserve">Despite progress several structural barriers hinder optimal performance by academic personnel in Iraq Baghdad:</w:t>
      </w:r>
    </w:p>
    <w:p>
      <w:pPr>
        <w:numPr>
          <w:ilvl w:val="0"/>
          <w:numId w:val="1002"/>
        </w:numPr>
        <w:pStyle w:val="Compact"/>
      </w:pPr>
      <w:r>
        <w:rPr>
          <w:bCs/>
          <w:b/>
        </w:rPr>
        <w:t xml:space="preserve">Funding Limitations:</w:t>
      </w:r>
      <w:r>
        <w:t xml:space="preserve">Budget constraints restrict access to state-of-the-art laboratory equipment software licenses necessary for high quality empirical studies.</w:t>
      </w:r>
    </w:p>
    <w:p>
      <w:pPr>
        <w:numPr>
          <w:ilvl w:val="0"/>
          <w:numId w:val="1002"/>
        </w:numPr>
        <w:pStyle w:val="Compact"/>
      </w:pPr>
      <w:r>
        <w:rPr>
          <w:bCs/>
          <w:b/>
        </w:rPr>
        <w:t xml:space="preserve">Brain Drain:</w:t>
      </w:r>
      <w:r>
        <w:t xml:space="preserve">A significant proportion of highly trained professionals migrate abroad seeking better working conditions resulting in loss valuable expertise locally.</w:t>
      </w:r>
    </w:p>
    <w:p>
      <w:pPr>
        <w:numPr>
          <w:ilvl w:val="0"/>
          <w:numId w:val="1002"/>
        </w:numPr>
        <w:pStyle w:val="Compact"/>
      </w:pPr>
      <w:r>
        <w:rPr>
          <w:bCs/>
          <w:b/>
        </w:rPr>
        <w:t xml:space="preserve">Bureaucracy:</w:t>
      </w:r>
      <w:r>
        <w:t xml:space="preserve">Excessive administrative procedures can delay publication processes procurement activities limiting timely dissemination findings.</w:t>
      </w:r>
    </w:p>
    <w:p>
      <w:pPr>
        <w:numPr>
          <w:ilvl w:val="0"/>
          <w:numId w:val="1002"/>
        </w:numPr>
        <w:pStyle w:val="Compact"/>
      </w:pPr>
      <w:r>
        <w:rPr>
          <w:bCs/>
          <w:b/>
        </w:rPr>
        <w:t xml:space="preserve">Safety Concerns:</w:t>
      </w:r>
      <w:r>
        <w:t xml:space="preserve">In certain periods security issues have impacted fieldwork safety particularly when conducting surveys excavations outside secure university campuses.</w:t>
      </w:r>
    </w:p>
    <w:p>
      <w:pPr>
        <w:pStyle w:val="FirstParagraph"/>
      </w:pPr>
      <w:r>
        <w:t xml:space="preserve">Addresing these challenges requires holistic strategies involving government policy reforms international collaboration private sector investment which together create enabling environments conducive productive scholarly activities.</w:t>
      </w:r>
    </w:p>
    <w:bookmarkEnd w:id="23"/>
    <w:bookmarkStart w:id="24" w:name="X415e8ccfe137dc2f49248eaf65ceec642fc17f7"/>
    <w:p>
      <w:pPr>
        <w:pStyle w:val="Heading2"/>
      </w:pPr>
      <w:r>
        <w:t xml:space="preserve">5. Opportunities for Growth and International Collaboration</w:t>
      </w:r>
    </w:p>
    <w:p>
      <w:pPr>
        <w:pStyle w:val="FirstParagraph"/>
      </w:pPr>
      <w:r>
        <w:t xml:space="preserve">The digital age presents unprecedented opportunities for bridging gaps experienced previously due to isolation. Online platforms enable Iraqi academics connect with peers worldwide facilitating joint publications conference presentations without requiring extensive travel expenses associated traditionally international engagements.</w:t>
      </w:r>
    </w:p>
    <w:p>
      <w:pPr>
        <w:pStyle w:val="BodyText"/>
      </w:pPr>
      <w:r>
        <w:t xml:space="preserve">Furthermore partnerships established through EU funded programs UNESCO initiatives World Bank projects offer valuable resources training capacity building exercises aimed specifically strengthening research ecosystems within Iraq Baghdad. These collaborations help integrate local perspectives global standards enhancing credibility impact outputs produced by regional institutions.</w:t>
      </w:r>
    </w:p>
    <w:bookmarkEnd w:id="24"/>
    <w:bookmarkStart w:id="25" w:name="Xb9ccf3ae8fcf778a24777553c64da34e2c3df5d"/>
    <w:p>
      <w:pPr>
        <w:pStyle w:val="Heading2"/>
      </w:pPr>
      <w:r>
        <w:t xml:space="preserve">6. Recommendations for Policy Makers and Stakeholders</w:t>
      </w:r>
    </w:p>
    <w:p>
      <w:pPr>
        <w:pStyle w:val="FirstParagraph"/>
      </w:pPr>
      <w:r>
        <w:t xml:space="preserve">In order to maximize contributions made by academic researchers towards societal progress several recommendations are proposed:</w:t>
      </w:r>
    </w:p>
    <w:p>
      <w:pPr>
        <w:numPr>
          <w:ilvl w:val="0"/>
          <w:numId w:val="1003"/>
        </w:numPr>
        <w:pStyle w:val="Compact"/>
      </w:pPr>
      <w:r>
        <w:rPr>
          <w:bCs/>
          <w:b/>
        </w:rPr>
        <w:t xml:space="preserve">Increase Funding Allocation:</w:t>
      </w:r>
      <w:r>
        <w:t xml:space="preserve">Dedicate greater percentages national budgets toward basic applied sciences ensuring adequate resources reach frontline investigators.</w:t>
      </w:r>
    </w:p>
    <w:p>
      <w:pPr>
        <w:numPr>
          <w:ilvl w:val="0"/>
          <w:numId w:val="1003"/>
        </w:numPr>
        <w:pStyle w:val="Compact"/>
      </w:pPr>
      <w:r>
        <w:rPr>
          <w:bCs/>
          <w:b/>
        </w:rPr>
        <w:t xml:space="preserve">Promote Incentive Structures:</w:t>
      </w:r>
      <w:r>
        <w:t xml:space="preserve">Establish reward systems recognizing excellence in teaching mentorship alongside pure research achievements motivating sustained engagement long-term commitments.</w:t>
      </w:r>
    </w:p>
    <w:p>
      <w:pPr>
        <w:numPr>
          <w:ilvl w:val="0"/>
          <w:numId w:val="1003"/>
        </w:numPr>
        <w:pStyle w:val="Compact"/>
      </w:pPr>
      <w:r>
        <w:rPr>
          <w:bCs/>
          <w:b/>
        </w:rPr>
        <w:t xml:space="preserve">Strengthen Industry Links:</w:t>
      </w:r>
      <w:r>
        <w:t xml:space="preserve">Foster closer ties between academia industry encouraging applied research projects solving real world problems faced by businesses communities alike.</w:t>
      </w:r>
    </w:p>
    <w:p>
      <w:pPr>
        <w:numPr>
          <w:ilvl w:val="0"/>
          <w:numId w:val="1003"/>
        </w:numPr>
        <w:pStyle w:val="Compact"/>
      </w:pPr>
      <w:r>
        <w:t xml:space="preserve">Simplify Administrative Processes::Reduce red tape minimizing time spent navigating complex approval mechanisms freeing up more hours dedicated actual scientific inquiry dissemination results publicly.</w:t>
      </w:r>
    </w:p>
    <w:bookmarkEnd w:id="25"/>
    <w:bookmarkStart w:id="26" w:name="conclusion"/>
    <w:p>
      <w:pPr>
        <w:pStyle w:val="Heading2"/>
      </w:pPr>
      <w:r>
        <w:t xml:space="preserve">7. Conclusion</w:t>
      </w:r>
    </w:p>
    <w:p>
      <w:pPr>
        <w:pStyle w:val="FirstParagraph"/>
      </w:pPr>
      <w:r>
        <w:t xml:space="preserve">In conclusion the figure of the academic researcher in Iraq Baghdad embodies resilience creativity determination despite facing numerous adversities over past decades. As we move forward it becomes imperative recognize value inherent their work supporting informed decision making fostering innovation driving positive transformations across various sectors society depends upon.</w:t>
      </w:r>
    </w:p>
    <w:p>
      <w:pPr>
        <w:pStyle w:val="BodyText"/>
      </w:pPr>
      <w:r>
        <w:t xml:space="preserve">By implementing strategic interventions focused on improving working conditions expanding access resources encouraging international dialogue stakeholders can unlock full potential housed within walls Baghdad universities colleges ensuring continued relevance contribution towards building brighter future generations Iraqis deserve enjoy peacefully prosperously together globally interconnected world where knowledge reigns supreme guiding humanity toward peace understanding prosperity shared destinies ahead waiting patiently discovered nurtured cherished protected preserved forevermore amen.</w:t>
      </w:r>
    </w:p>
    <w:p>
      <w:pPr>
        <w:pStyle w:val="BodyText"/>
      </w:pPr>
      <w:r>
        <w:rPr>
          <w:iCs/>
          <w:i/>
        </w:rPr>
        <w:t xml:space="preserve">Note: This document serves as a generalized research overview based on common trends observed in Iraqi higher education systems. Specific citations from peer-reviewed journals regarding individual studies conducted exclusively within Iraq Baghdad may be added upon request for further academic rigor.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Iraq Baghdad</dc:title>
  <dc:creator/>
  <dc:language>en</dc:language>
  <cp:keywords/>
  <dcterms:created xsi:type="dcterms:W3CDTF">2026-07-29T19:33:54Z</dcterms:created>
  <dcterms:modified xsi:type="dcterms:W3CDTF">2026-07-29T19:33:54Z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