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Riyadh</w:t>
      </w:r>
    </w:p>
    <w:bookmarkStart w:id="32" w:name="X28bd215891d3a56e57592140609da786c7ce3d2"/>
    <w:p>
      <w:pPr>
        <w:pStyle w:val="Heading1"/>
      </w:pPr>
      <w:r>
        <w:t xml:space="preserve">The Strategic Role of the Academic Researcher in Saudi Arabia Riyadh</w:t>
      </w:r>
    </w:p>
    <w:p>
      <w:pPr>
        <w:pStyle w:val="FirstParagraph"/>
      </w:pPr>
      <w:r>
        <w:rPr>
          <w:bCs/>
          <w:b/>
        </w:rPr>
        <w:t xml:space="preserve">An Analysis of Vision 2030, Innovation Ecosystems, and Socio-Economic Transformation</w:t>
      </w:r>
    </w:p>
    <w:bookmarkStart w:id="20" w:name="abstract"/>
    <w:p>
      <w:pPr>
        <w:pStyle w:val="Heading3"/>
      </w:pPr>
      <w:r>
        <w:t xml:space="preserve">Abstract</w:t>
      </w:r>
    </w:p>
    <w:p>
      <w:pPr>
        <w:pStyle w:val="FirstParagraph"/>
      </w:pPr>
      <w:r>
        <w:t xml:space="preserve">This research paper examines the pivotal role of the academic researcher within the dynamic ecosystem of Saudi Arabia Riyadh. As the Kingdom transitions from an oil-dependent economy to a diversified, knowledge-based society under Vision 2030, Riyadh has emerged as a global hub for science, technology, and innovation. This document explores how academic researchers are not merely educators but central catalysts for national development. It analyzes the structural shifts in higher education, the alignment of research priorities with national goals such as sustainability and digital transformation, and the collaboration between academia and industry. The findings suggest that empowering academic researchers in Riyadh is essential for achieving sustainable economic diversification, fostering global competitiveness, and addressing unique regional challenges.</w:t>
      </w:r>
    </w:p>
    <w:bookmarkEnd w:id="20"/>
    <w:bookmarkStart w:id="21" w:name="introduction"/>
    <w:p>
      <w:pPr>
        <w:pStyle w:val="Heading2"/>
      </w:pPr>
      <w:r>
        <w:t xml:space="preserve">1. Introduction</w:t>
      </w:r>
    </w:p>
    <w:p>
      <w:pPr>
        <w:pStyle w:val="FirstParagraph"/>
      </w:pPr>
      <w:r>
        <w:t xml:space="preserve">In recent decades, the landscape of higher education and scientific inquiry has undergone a radical transformation across the Middle East. Nowhere is this more evident than in Saudi Arabia Riyadh, where rapid urbanization and strategic economic planning have converged to create a fertile ground for academic excellence. The traditional role of the university as an isolated ivory tower is being dismantled, replaced by a model where research drives policy, industry innovation, and social progress.</w:t>
      </w:r>
    </w:p>
    <w:p>
      <w:pPr>
        <w:pStyle w:val="BodyText"/>
      </w:pPr>
      <w:r>
        <w:t xml:space="preserve">The concept of the</w:t>
      </w:r>
      <w:r>
        <w:t xml:space="preserve"> </w:t>
      </w:r>
      <w:r>
        <w:rPr>
          <w:bCs/>
          <w:b/>
        </w:rPr>
        <w:t xml:space="preserve">Academic Researcher</w:t>
      </w:r>
      <w:r>
        <w:t xml:space="preserve"> </w:t>
      </w:r>
      <w:r>
        <w:t xml:space="preserve">in this context has evolved significantly. They are no longer solely responsible for teaching undergraduate students or publishing theoretical papers in isolation. Instead, they are expected to engage in applied research that solves real-world problems facing the Kingdom and the broader region. This paper argues that within</w:t>
      </w:r>
      <w:r>
        <w:t xml:space="preserve"> </w:t>
      </w:r>
      <w:r>
        <w:rPr>
          <w:bCs/>
          <w:b/>
        </w:rPr>
        <w:t xml:space="preserve">Saudi Arabia Riyadh</w:t>
      </w:r>
      <w:r>
        <w:t xml:space="preserve">, the academic researcher serves as a critical bridge between historical heritage and futuristic aspirations, particularly under the framework of Vision 2030.</w:t>
      </w:r>
    </w:p>
    <w:bookmarkEnd w:id="21"/>
    <w:bookmarkStart w:id="24" w:name="Xaabfda9405416ddb1380fa0591671e01fd8d834"/>
    <w:p>
      <w:pPr>
        <w:pStyle w:val="Heading2"/>
      </w:pPr>
      <w:r>
        <w:t xml:space="preserve">2. The Vision 2030 Framework and Research Priorities</w:t>
      </w:r>
    </w:p>
    <w:p>
      <w:pPr>
        <w:pStyle w:val="FirstParagraph"/>
      </w:pPr>
      <w:r>
        <w:t xml:space="preserve">Vision 2030 represents a comprehensive roadmap for diversifying the Saudi economy away from oil dependency. For academic researchers in Riyadh, this vision has translated into specific priorities that guide funding, institutional goals, and collaborative opportunities. The primary areas of focus include:</w:t>
      </w:r>
    </w:p>
    <w:bookmarkStart w:id="22" w:name="Xc52cdb40fb823dad7801bf34eff8bfc83002370"/>
    <w:p>
      <w:pPr>
        <w:pStyle w:val="Heading3"/>
      </w:pPr>
      <w:r>
        <w:t xml:space="preserve">2.1 Renewable Energy and Environmental Sustainability</w:t>
      </w:r>
    </w:p>
    <w:p>
      <w:pPr>
        <w:pStyle w:val="FirstParagraph"/>
      </w:pPr>
      <w:r>
        <w:t xml:space="preserve">Saudi Arabia Riyadh is increasingly becoming a laboratory for sustainable urban living. With initiatives like the NEOM project and various green city developments in the capital, academic researchers are at the forefront of developing solar energy technologies, water desalination efficiency, and carbon capture methods. Universities such as King Saud University (KSU) and King Abdulaziz University (KAUST), despite being in Jeddah, have strong collaborative ties with Riyadh institutions to address environmental challenges specific to the arid climate of central Arabia.</w:t>
      </w:r>
    </w:p>
    <w:bookmarkEnd w:id="22"/>
    <w:bookmarkStart w:id="23" w:name="X8f6c0a077ae898d0a3975de79427eeeaff5d84e"/>
    <w:p>
      <w:pPr>
        <w:pStyle w:val="Heading3"/>
      </w:pPr>
      <w:r>
        <w:t xml:space="preserve">2.2 Digital Transformation and Artificial Intelligence</w:t>
      </w:r>
    </w:p>
    <w:p>
      <w:pPr>
        <w:pStyle w:val="FirstParagraph"/>
      </w:pPr>
      <w:r>
        <w:t xml:space="preserve">The digital economy is a cornerstone of Vision 2030. Academic researchers in Riyadh are deeply involved in advancing fields such as artificial intelligence (AI), big data analytics, cybersecurity, and fintech. The establishment of research centers dedicated to AI has attracted top talent from around the world, positioning Saudi Arabia Riyadh as a contender in the global tech arena. These researchers work closely with government entities like the Ministry of Communication and Information Technology (MCIT) to ensure that technological adoption aligns with national security and economic goals.</w:t>
      </w:r>
    </w:p>
    <w:bookmarkEnd w:id="23"/>
    <w:bookmarkEnd w:id="24"/>
    <w:bookmarkStart w:id="27" w:name="X59554b1fbc39adb2991d21314820acf16469698"/>
    <w:p>
      <w:pPr>
        <w:pStyle w:val="Heading2"/>
      </w:pPr>
      <w:r>
        <w:t xml:space="preserve">3. The Changing Role of the Academic Researcher</w:t>
      </w:r>
    </w:p>
    <w:p>
      <w:pPr>
        <w:pStyle w:val="FirstParagraph"/>
      </w:pPr>
      <w:r>
        <w:t xml:space="preserve">The identity of the academic researcher in Saudi Arabia Riyadh is undergoing a paradigm shift. Historically, tenure and promotion were based heavily on publication counts in international journals. Today, while publication remains important, there is a growing emphasis on impact metrics that measure societal contribution.</w:t>
      </w:r>
    </w:p>
    <w:bookmarkStart w:id="25" w:name="industry-academia-collaboration"/>
    <w:p>
      <w:pPr>
        <w:pStyle w:val="Heading3"/>
      </w:pPr>
      <w:r>
        <w:t xml:space="preserve">3.1 Industry-Academia Collaboration</w:t>
      </w:r>
    </w:p>
    <w:p>
      <w:pPr>
        <w:pStyle w:val="FirstParagraph"/>
      </w:pPr>
      <w:r>
        <w:t xml:space="preserve">A significant trend in Riyadh is the strengthening of partnerships between universities and private sector entities. Academic researchers are now encouraged to engage in contract research, consulting, and joint ventures with corporations. This collaboration ensures that research outputs are not only theoretically sound but also commercially viable. For instance, researchers in biomedical sciences often collaborate with hospitals and pharmaceutical companies within Riyadh’s growing healthcare cluster to develop treatments relevant to local genetic demographics.</w:t>
      </w:r>
    </w:p>
    <w:bookmarkEnd w:id="25"/>
    <w:bookmarkStart w:id="26" w:name="knowledge-transfer-and-entrepreneurship"/>
    <w:p>
      <w:pPr>
        <w:pStyle w:val="Heading3"/>
      </w:pPr>
      <w:r>
        <w:t xml:space="preserve">3.2 Knowledge Transfer and Entrepreneurship</w:t>
      </w:r>
    </w:p>
    <w:p>
      <w:pPr>
        <w:pStyle w:val="FirstParagraph"/>
      </w:pPr>
      <w:r>
        <w:t xml:space="preserve">The modern academic researcher in Saudi Arabia Riyadh is also expected to be an innovator and entrepreneur. University technology transfer offices are becoming more active in patenting research outcomes and spinning off startups. This shift encourages researchers to view their discoveries as intellectual property that can drive economic growth, thereby integrating them into the broader entrepreneurial ecosystem of the Kingdom.</w:t>
      </w:r>
    </w:p>
    <w:bookmarkEnd w:id="26"/>
    <w:bookmarkEnd w:id="27"/>
    <w:bookmarkStart w:id="28" w:name="Xa81c7a2ad4a4034257d67a34f3b95d946cb7df8"/>
    <w:p>
      <w:pPr>
        <w:pStyle w:val="Heading2"/>
      </w:pPr>
      <w:r>
        <w:t xml:space="preserve">4. Challenges Faced by Researchers in Riyadh</w:t>
      </w:r>
    </w:p>
    <w:p>
      <w:pPr>
        <w:pStyle w:val="FirstParagraph"/>
      </w:pPr>
      <w:r>
        <w:t xml:space="preserve">Despite the rapid progress, academic researchers in Saudi Arabia Riyadh face several structural and cultural challenges that must be addressed to maximize their potential.</w:t>
      </w:r>
    </w:p>
    <w:p>
      <w:pPr>
        <w:numPr>
          <w:ilvl w:val="0"/>
          <w:numId w:val="1001"/>
        </w:numPr>
        <w:pStyle w:val="Compact"/>
      </w:pPr>
      <w:r>
        <w:rPr>
          <w:bCs/>
          <w:b/>
        </w:rPr>
        <w:t xml:space="preserve">Bureaucratic Hurdles:</w:t>
      </w:r>
      <w:r>
        <w:t xml:space="preserve"> </w:t>
      </w:r>
      <w:r>
        <w:t xml:space="preserve">Navigating administrative processes for funding approvals and procurement can sometimes be slow, potentially hindering rapid experimental progress.</w:t>
      </w:r>
    </w:p>
    <w:p>
      <w:pPr>
        <w:numPr>
          <w:ilvl w:val="0"/>
          <w:numId w:val="1001"/>
        </w:numPr>
        <w:pStyle w:val="Compact"/>
      </w:pPr>
      <w:r>
        <w:rPr>
          <w:bCs/>
          <w:b/>
        </w:rPr>
        <w:t xml:space="preserve">Talent Retention:</w:t>
      </w:r>
      <w:r>
        <w:t xml:space="preserve"> </w:t>
      </w:r>
      <w:r>
        <w:t xml:space="preserve">While attracting international talent has improved, retaining top-tier local researchers in the long term requires competitive compensation packages and clear career progression paths that value research impact over mere quantity of publications.</w:t>
      </w:r>
    </w:p>
    <w:p>
      <w:pPr>
        <w:numPr>
          <w:ilvl w:val="0"/>
          <w:numId w:val="1001"/>
        </w:numPr>
        <w:pStyle w:val="Compact"/>
      </w:pPr>
      <w:r>
        <w:rPr>
          <w:bCs/>
          <w:b/>
        </w:rPr>
        <w:t xml:space="preserve">Cultural Adaptation:</w:t>
      </w:r>
      <w:r>
        <w:t xml:space="preserve"> </w:t>
      </w:r>
      <w:r>
        <w:t xml:space="preserve">Balancing traditional cultural values with the open exchange of ideas required for global scientific collaboration presents an ongoing dynamic. However, this is increasingly seen as a strength rather than a barrier, fostering unique perspectives in research methodologies.</w:t>
      </w:r>
    </w:p>
    <w:bookmarkEnd w:id="28"/>
    <w:bookmarkStart w:id="29" w:name="strategic-recommendations"/>
    <w:p>
      <w:pPr>
        <w:pStyle w:val="Heading2"/>
      </w:pPr>
      <w:r>
        <w:t xml:space="preserve">5. Strategic Recommendations</w:t>
      </w:r>
    </w:p>
    <w:p>
      <w:pPr>
        <w:pStyle w:val="FirstParagraph"/>
      </w:pPr>
      <w:r>
        <w:t xml:space="preserve">To further enhance the effectiveness of academic researchers in Saudi Arabia Riyadh, several strategic recommendations are proposed:</w:t>
      </w:r>
    </w:p>
    <w:p>
      <w:pPr>
        <w:numPr>
          <w:ilvl w:val="0"/>
          <w:numId w:val="1002"/>
        </w:numPr>
        <w:pStyle w:val="Compact"/>
      </w:pPr>
      <w:r>
        <w:rPr>
          <w:bCs/>
          <w:b/>
        </w:rPr>
        <w:t xml:space="preserve">Increase Flexible Funding Mechanisms:</w:t>
      </w:r>
      <w:r>
        <w:t xml:space="preserve"> </w:t>
      </w:r>
      <w:r>
        <w:t xml:space="preserve">Establish fast-track grant systems for high-impact projects that respond quickly to emerging national needs.</w:t>
      </w:r>
    </w:p>
    <w:p>
      <w:pPr>
        <w:numPr>
          <w:ilvl w:val="0"/>
          <w:numId w:val="1002"/>
        </w:numPr>
        <w:pStyle w:val="Compact"/>
      </w:pPr>
      <w:r>
        <w:rPr>
          <w:bCs/>
          <w:b/>
        </w:rPr>
        <w:t xml:space="preserve">Strengthen International Partnerships:</w:t>
      </w:r>
      <w:r>
        <w:t xml:space="preserve"> </w:t>
      </w:r>
      <w:r>
        <w:t xml:space="preserve">Encourage dual-degree programs and joint research centers with leading global universities to raise standards and expand networks.</w:t>
      </w:r>
    </w:p>
    <w:p>
      <w:pPr>
        <w:numPr>
          <w:ilvl w:val="0"/>
          <w:numId w:val="1002"/>
        </w:numPr>
        <w:pStyle w:val="Compact"/>
      </w:pPr>
      <w:r>
        <w:rPr>
          <w:bCs/>
          <w:b/>
        </w:rPr>
        <w:t xml:space="preserve">Promote Interdisciplinary Research:</w:t>
      </w:r>
      <w:r>
        <w:t xml:space="preserve"> </w:t>
      </w:r>
      <w:r>
        <w:t xml:space="preserve">Break down silos between departments. Complex problems in Riyadh, such as urban mobility or healthcare management, require integrated approaches combining sociology, engineering, and data science.</w:t>
      </w:r>
    </w:p>
    <w:p>
      <w:pPr>
        <w:numPr>
          <w:ilvl w:val="0"/>
          <w:numId w:val="1002"/>
        </w:numPr>
        <w:pStyle w:val="Compact"/>
      </w:pPr>
      <w:r>
        <w:rPr>
          <w:bCs/>
          <w:b/>
        </w:rPr>
        <w:t xml:space="preserve">Enhance Public Engagement:</w:t>
      </w:r>
    </w:p>
    <w:bookmarkEnd w:id="29"/>
    <w:bookmarkStart w:id="31" w:name="conclusion"/>
    <w:p>
      <w:pPr>
        <w:pStyle w:val="Heading2"/>
      </w:pPr>
      <w:r>
        <w:t xml:space="preserve">6. Conclusion</w:t>
      </w:r>
    </w:p>
    <w:p>
      <w:pPr>
        <w:pStyle w:val="FirstParagraph"/>
      </w:pPr>
      <w:r>
        <w:t xml:space="preserve">The trajectory of Saudi Arabia Riyadh is inextricably linked to the vitality of its academic community. As the nation seeks to diversify its economy and elevate its global standing, the role of the academic researcher has never been more critical. They are the architects of innovation, driving progress in energy, technology, healthcare, and social sciences.</w:t>
      </w:r>
    </w:p>
    <w:p>
      <w:pPr>
        <w:pStyle w:val="BodyText"/>
      </w:pPr>
      <w:r>
        <w:t xml:space="preserve">By aligning research activities with Vision 2030 goals and overcoming structural challenges through strategic investment and policy support, Saudi Arabia Riyadh can cultivate a world-class research ecosystem. The academic researcher is not just an observer of this transformation but its primary engine. Investing in their capacity, autonomy, and connectivity will yield dividends that extend far beyond the university walls, contributing to a prosperous, sustainable future for the Kingdom.</w:t>
      </w:r>
    </w:p>
    <w:bookmarkStart w:id="30" w:name="references"/>
    <w:p>
      <w:pPr>
        <w:pStyle w:val="Heading3"/>
      </w:pPr>
      <w:r>
        <w:t xml:space="preserve">References</w:t>
      </w:r>
    </w:p>
    <w:p>
      <w:pPr>
        <w:pStyle w:val="FirstParagraph"/>
      </w:pPr>
      <w:r>
        <w:t xml:space="preserve">1. Council of Ministers. (2016). Vision 2030: A Blueprint for Sustainable Development and Diversification in Saudi Arabia.</w:t>
      </w:r>
    </w:p>
    <w:p>
      <w:pPr>
        <w:pStyle w:val="BodyText"/>
      </w:pPr>
      <w:r>
        <w:t xml:space="preserve">2. Ministry of Education, Saudi Arabia. (2021). Higher Education Transformation Program Strategy.</w:t>
      </w:r>
    </w:p>
    <w:p>
      <w:pPr>
        <w:pStyle w:val="BodyText"/>
      </w:pPr>
      <w:r>
        <w:t xml:space="preserve">3. Al-Zahrani, A., &amp; Al-Saud, K. (2019). "Challenges and Opportunities in Academic Research in the GCC Region." Journal of Middle East Higher Education.</w:t>
      </w:r>
    </w:p>
    <w:p>
      <w:pPr>
        <w:pStyle w:val="BodyText"/>
      </w:pPr>
      <w:r>
        <w:t xml:space="preserve">4. World Bank Group. (2020). Saudi Arabia Economic Diversification and Human Capital Development Report.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Academic Researcher in Saudi Arabia Riyadh</dc:title>
  <dc:creator/>
  <dc:language>en</dc:language>
  <cp:keywords/>
  <dcterms:created xsi:type="dcterms:W3CDTF">2026-07-29T15:12:20Z</dcterms:created>
  <dcterms:modified xsi:type="dcterms:W3CDTF">2026-07-29T15:12:20Z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