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Strategic</w:t>
      </w:r>
      <w:r>
        <w:t xml:space="preserve"> </w:t>
      </w:r>
      <w:r>
        <w:t xml:space="preserve">Analysis</w:t>
      </w:r>
    </w:p>
    <w:bookmarkStart w:id="28" w:name="X59564b176012c8ef44bc2982d1f88b40a200ab6"/>
    <w:p>
      <w:pPr>
        <w:pStyle w:val="Heading1"/>
      </w:pPr>
      <w:r>
        <w:t xml:space="preserve">The Evolving Role of the Academic Researcher in Uzbekistan Tashkent: A Strategic Analysis of Innovation, Global Integration, and National Development</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Central Asia</w:t>
      </w:r>
    </w:p>
    <w:bookmarkStart w:id="20" w:name="abstract"/>
    <w:p>
      <w:pPr>
        <w:pStyle w:val="Heading3"/>
      </w:pPr>
      <w:r>
        <w:t xml:space="preserve">Abstract</w:t>
      </w:r>
    </w:p>
    <w:bookmarkEnd w:id="20"/>
    <w:bookmarkStart w:id="21" w:name="introduction"/>
    <w:p>
      <w:pPr>
        <w:pStyle w:val="Heading2"/>
      </w:pPr>
      <w:r>
        <w:t xml:space="preserve">1. Introduction</w:t>
      </w:r>
    </w:p>
    <w:p>
      <w:pPr>
        <w:pStyle w:val="FirstParagraph"/>
      </w:pPr>
      <w:r>
        <w:t xml:space="preserve">In recent years, Uzbekistan has embarked on a comprehensive path of reform, aiming to transition from a resource-dependent economy to one driven by human capital and technological innovation. At the heart of this transformation lies Tashkent, the capital city which serves as the primary nexus for educational and scientific activity. Within this urban landscape, the role of the</w:t>
      </w:r>
      <w:r>
        <w:t xml:space="preserve"> </w:t>
      </w:r>
      <w:r>
        <w:rPr>
          <w:bCs/>
          <w:b/>
        </w:rPr>
        <w:t xml:space="preserve">Academic Researcher</w:t>
      </w:r>
      <w:r>
        <w:t xml:space="preserve"> </w:t>
      </w:r>
      <w:r>
        <w:t xml:space="preserve">has undergone a profound redefinition. Historically focused on theoretical pedagogy, researchers in Tashkent are now expected to engage in applied sciences, patentable innovations, and cross-border collaborations.</w:t>
      </w:r>
    </w:p>
    <w:p>
      <w:pPr>
        <w:pStyle w:val="BodyText"/>
      </w:pPr>
      <w:r>
        <w:t xml:space="preserve">This paper seeks to delineate the current challenges and opportunities facing the</w:t>
      </w:r>
      <w:r>
        <w:t xml:space="preserve"> </w:t>
      </w:r>
      <w:r>
        <w:rPr>
          <w:bCs/>
          <w:b/>
        </w:rPr>
        <w:t xml:space="preserve">Academic Researcher</w:t>
      </w:r>
      <w:r>
        <w:t xml:space="preserve"> </w:t>
      </w:r>
      <w:r>
        <w:t xml:space="preserve">working within institutions across Uzbekistan Tashkent. It highlights how state policies, such as the "Strategy for Actions on Five Priority Directions of People's Interests," have catalyzed a shift towards research-intensive universities. The unique position of Tashkent as a diplomatic and cultural hub in Central Asia further amplifies the importance of local scholarship in addressing regional issues related to water management, arid agriculture, and digital infrastructure.</w:t>
      </w:r>
    </w:p>
    <w:bookmarkEnd w:id="21"/>
    <w:bookmarkStart w:id="22" w:name="X5cd0606da76eff59ef4a0bf4a1e5dc01ca59fd6"/>
    <w:p>
      <w:pPr>
        <w:pStyle w:val="Heading2"/>
      </w:pPr>
      <w:r>
        <w:t xml:space="preserve">2. The Strategic Context of Education Reform in Uzbekistan</w:t>
      </w:r>
    </w:p>
    <w:p>
      <w:pPr>
        <w:pStyle w:val="FirstParagraph"/>
      </w:pPr>
      <w:r>
        <w:t xml:space="preserve">The modernization of higher education in Uzbekistan is characterized by a decisive move toward international standards. In Tashkent, this has manifested through the establishment of branch campuses of prestigious foreign universities and the restructuring of traditional national institutions. For the</w:t>
      </w:r>
      <w:r>
        <w:t xml:space="preserve"> </w:t>
      </w:r>
      <w:r>
        <w:rPr>
          <w:bCs/>
          <w:b/>
        </w:rPr>
        <w:t xml:space="preserve">Academic Researcher</w:t>
      </w:r>
      <w:r>
        <w:t xml:space="preserve">, this environment demands a dual competency: deep expertise in specialized fields and proficiency in global academic languages, particularly English.</w:t>
      </w:r>
    </w:p>
    <w:p>
      <w:pPr>
        <w:pStyle w:val="BodyText"/>
      </w:pPr>
      <w:r>
        <w:t xml:space="preserve">The government’s investment in scientific infrastructure has been substantial. New research centers have been built in Tashkent, equipped with modern laboratories capable of supporting high-level empirical study. However, the mere presence of infrastructure does not guarantee output; it requires a skilled workforce capable of leveraging these tools. Consequently, recruitment and retention policies for</w:t>
      </w:r>
      <w:r>
        <w:t xml:space="preserve"> </w:t>
      </w:r>
      <w:r>
        <w:rPr>
          <w:bCs/>
          <w:b/>
        </w:rPr>
        <w:t xml:space="preserve">Academic Researcher</w:t>
      </w:r>
      <w:r>
        <w:t xml:space="preserve"> </w:t>
      </w:r>
      <w:r>
        <w:t xml:space="preserve">positions have become stricter, emphasizing publication records in indexed journals and successful grant acquisition.</w:t>
      </w:r>
    </w:p>
    <w:bookmarkEnd w:id="22"/>
    <w:bookmarkStart w:id="23" w:name="X9f7b5c3705cd2d3bd97a12f06451f9c17dc4121"/>
    <w:p>
      <w:pPr>
        <w:pStyle w:val="Heading2"/>
      </w:pPr>
      <w:r>
        <w:t xml:space="preserve">3. The Multidimensional Role of the Academic Researcher</w:t>
      </w:r>
    </w:p>
    <w:p>
      <w:pPr>
        <w:pStyle w:val="FirstParagraph"/>
      </w:pPr>
      <w:r>
        <w:t xml:space="preserve">The contemporary profile of an</w:t>
      </w:r>
      <w:r>
        <w:t xml:space="preserve"> </w:t>
      </w:r>
      <w:r>
        <w:rPr>
          <w:bCs/>
          <w:b/>
        </w:rPr>
        <w:t xml:space="preserve">Academic Researcher</w:t>
      </w:r>
      <w:r>
        <w:t xml:space="preserve"> </w:t>
      </w:r>
      <w:r>
        <w:t xml:space="preserve">in Tashkent extends beyond the laboratory or library. Three key dimensions define this role:</w:t>
      </w:r>
    </w:p>
    <w:p>
      <w:pPr>
        <w:numPr>
          <w:ilvl w:val="0"/>
          <w:numId w:val="1001"/>
        </w:numPr>
        <w:pStyle w:val="Compact"/>
      </w:pPr>
      <w:r>
        <w:rPr>
          <w:bCs/>
          <w:b/>
        </w:rPr>
        <w:t xml:space="preserve">Innovation and Commercialization:</w:t>
      </w:r>
      <w:r>
        <w:t xml:space="preserve"> </w:t>
      </w:r>
      <w:r>
        <w:t xml:space="preserve">Researchers are increasingly pressured to translate theoretical findings into practical applications. In Tashkent, there is a growing synergy between universities and the IT sector, particularly in areas like fintech and agritech. The researcher is expected to engage with industry partners, fostering an ecosystem where academic inquiry directly contributes to GDP growth.</w:t>
      </w:r>
    </w:p>
    <w:p>
      <w:pPr>
        <w:numPr>
          <w:ilvl w:val="0"/>
          <w:numId w:val="1001"/>
        </w:numPr>
        <w:pStyle w:val="Compact"/>
      </w:pPr>
      <w:r>
        <w:rPr>
          <w:bCs/>
          <w:b/>
        </w:rPr>
        <w:t xml:space="preserve">International Collaboration:</w:t>
      </w:r>
      <w:r>
        <w:t xml:space="preserve"> </w:t>
      </w:r>
      <w:r>
        <w:t xml:space="preserve">Given its location at the crossroads of Europe and Asia, Tashkent is a strategic point for transnational projects. An</w:t>
      </w:r>
      <w:r>
        <w:t xml:space="preserve"> </w:t>
      </w:r>
      <w:r>
        <w:rPr>
          <w:bCs/>
          <w:b/>
        </w:rPr>
        <w:t xml:space="preserve">Academic Researcher</w:t>
      </w:r>
      <w:r>
        <w:t xml:space="preserve"> </w:t>
      </w:r>
      <w:r>
        <w:t xml:space="preserve">here often serves as a bridge, participating in EU-funded Horizon programs or bilateral agreements with Asian nations. This global connectivity enhances the visibility of Uzbek science on the world stage.</w:t>
      </w:r>
    </w:p>
    <w:p>
      <w:pPr>
        <w:numPr>
          <w:ilvl w:val="0"/>
          <w:numId w:val="1001"/>
        </w:numPr>
        <w:pStyle w:val="Compact"/>
      </w:pPr>
      <w:r>
        <w:rPr>
          <w:bCs/>
          <w:b/>
        </w:rPr>
        <w:t xml:space="preserve">Educational Mentorship:</w:t>
      </w:r>
      <w:r>
        <w:t xml:space="preserve"> </w:t>
      </w:r>
      <w:r>
        <w:t xml:space="preserve">While research output is prioritized, the primary function of these institutions remains education. Researchers are tasked with mentoring a new generation of students, instilling critical thinking and scientific methodology. This mentorship is crucial for sustaining long-term academic excellence in Uzbekistan.</w:t>
      </w:r>
    </w:p>
    <w:bookmarkEnd w:id="23"/>
    <w:bookmarkStart w:id="24" w:name="Xbedd270c419c5fc8e86d8dbdee9e9e4a6774c21"/>
    <w:p>
      <w:pPr>
        <w:pStyle w:val="Heading2"/>
      </w:pPr>
      <w:r>
        <w:t xml:space="preserve">4. Challenges Facing Academic Researcher in Uzbekistan Tashkent</w:t>
      </w:r>
    </w:p>
    <w:p>
      <w:pPr>
        <w:pStyle w:val="FirstParagraph"/>
      </w:pPr>
      <w:r>
        <w:t xml:space="preserve">Despite significant progress, the</w:t>
      </w:r>
      <w:r>
        <w:t xml:space="preserve"> </w:t>
      </w:r>
      <w:r>
        <w:rPr>
          <w:bCs/>
          <w:b/>
        </w:rPr>
        <w:t xml:space="preserve">Academic Researcher</w:t>
      </w:r>
      <w:r>
        <w:t xml:space="preserve"> </w:t>
      </w:r>
      <w:r>
        <w:t xml:space="preserve">operating in Tashkent faces distinct challenges. One primary hurdle is the historical legacy of isolated research practices. Breaking down silos between disciplines and institutions requires cultural shifts within academia. Furthermore, funding mechanisms, while improving, can still be bureaucratic and slow compared to global standards.</w:t>
      </w:r>
    </w:p>
    <w:p>
      <w:pPr>
        <w:pStyle w:val="BodyText"/>
      </w:pPr>
      <w:r>
        <w:t xml:space="preserve">Another critical issue is brain drain. The most talented scholars often seek opportunities abroad where resources are more abundant and academic freedom is perceived as more established. Retaining top-tier</w:t>
      </w:r>
      <w:r>
        <w:t xml:space="preserve"> </w:t>
      </w:r>
      <w:r>
        <w:rPr>
          <w:bCs/>
          <w:b/>
        </w:rPr>
        <w:t xml:space="preserve">Academic Researcher</w:t>
      </w:r>
      <w:r>
        <w:t xml:space="preserve"> </w:t>
      </w:r>
      <w:r>
        <w:t xml:space="preserve">talent in Tashkent requires competitive salaries, clear career progression paths, and a supportive administrative environment that minimizes non-academic burdens.</w:t>
      </w:r>
    </w:p>
    <w:p>
      <w:pPr>
        <w:pStyle w:val="BodyText"/>
      </w:pPr>
      <w:r>
        <w:t xml:space="preserve">Additionally, language barriers persist. While English proficiency is improving among younger academics, many senior researchers still rely on Russian or Uzbek for primary literature access. Bridging this gap is essential for timely engagement with cutting-edge global debates.</w:t>
      </w:r>
    </w:p>
    <w:bookmarkEnd w:id="24"/>
    <w:bookmarkStart w:id="25" w:name="opportunities-and-future-directions"/>
    <w:p>
      <w:pPr>
        <w:pStyle w:val="Heading2"/>
      </w:pPr>
      <w:r>
        <w:t xml:space="preserve">5. Opportunities and Future Directions</w:t>
      </w:r>
    </w:p>
    <w:p>
      <w:pPr>
        <w:pStyle w:val="FirstParagraph"/>
      </w:pPr>
      <w:r>
        <w:t xml:space="preserve">The future of scientific inquiry in Tashkent is bright, driven by digitalization and regional stability. The rise of smart city initiatives in Uzbekistan presents new avenues for research in urban planning, data security, and sustainable energy. An</w:t>
      </w:r>
      <w:r>
        <w:t xml:space="preserve"> </w:t>
      </w:r>
      <w:r>
        <w:rPr>
          <w:bCs/>
          <w:b/>
        </w:rPr>
        <w:t xml:space="preserve">Academic Researcher</w:t>
      </w:r>
      <w:r>
        <w:t xml:space="preserve"> </w:t>
      </w:r>
      <w:r>
        <w:t xml:space="preserve">positioned at the forefront of these trends can secure significant domestic and international funding.</w:t>
      </w:r>
    </w:p>
    <w:p>
      <w:pPr>
        <w:pStyle w:val="BodyText"/>
      </w:pPr>
      <w:r>
        <w:t xml:space="preserve">Moreover, the geopolitical importance of Central Asia is increasing globally. This elevates the status of Tashkent as a center for area studies, political science, and economics. International think tanks and universities are increasingly partnering with local institutions in Uzbekistan, creating more collaborative roles for researchers.</w:t>
      </w:r>
    </w:p>
    <w:p>
      <w:pPr>
        <w:pStyle w:val="BodyText"/>
      </w:pPr>
      <w:r>
        <w:rPr>
          <w:bCs/>
          <w:b/>
        </w:rPr>
        <w:t xml:space="preserve">Recommendation:</w:t>
      </w:r>
      <w:r>
        <w:t xml:space="preserve"> </w:t>
      </w:r>
      <w:r>
        <w:t xml:space="preserve">It is recommended that university administrations in Tashkent implement structured support systems for early-career</w:t>
      </w:r>
      <w:r>
        <w:t xml:space="preserve"> </w:t>
      </w:r>
      <w:r>
        <w:rPr>
          <w:bCs/>
          <w:b/>
        </w:rPr>
        <w:t xml:space="preserve">Academic Researcher</w:t>
      </w:r>
      <w:r>
        <w:t xml:space="preserve">s, including dedicated grant-writing workshops and international travel funds to foster networking.</w:t>
      </w:r>
    </w:p>
    <w:p>
      <w:pPr>
        <w:pStyle w:val="BodyText"/>
      </w:pPr>
      <w:r>
        <w:t xml:space="preserve">To fully realize its potential, the academic sector must also focus on interdisciplinary collaboration. Problems such as climate change affecting the Aral Sea region or water scarcity require integrated solutions that combine environmental science, economics, and sociology.</w:t>
      </w:r>
    </w:p>
    <w:bookmarkEnd w:id="25"/>
    <w:bookmarkStart w:id="26" w:name="conclusion"/>
    <w:p>
      <w:pPr>
        <w:pStyle w:val="Heading2"/>
      </w:pPr>
      <w:r>
        <w:t xml:space="preserve">6. Conclusion</w:t>
      </w:r>
    </w:p>
    <w:p>
      <w:pPr>
        <w:pStyle w:val="FirstParagraph"/>
      </w:pPr>
      <w:r>
        <w:t xml:space="preserve">In conclusion, the trajectory of Uzbekistan’s development is inextricably linked to the performance of its academic institutions. The</w:t>
      </w:r>
      <w:r>
        <w:t xml:space="preserve"> </w:t>
      </w:r>
      <w:r>
        <w:rPr>
          <w:bCs/>
          <w:b/>
        </w:rPr>
        <w:t xml:space="preserve">Academic Researcher</w:t>
      </w:r>
      <w:r>
        <w:t xml:space="preserve"> </w:t>
      </w:r>
      <w:r>
        <w:t xml:space="preserve">is no longer a peripheral figure but a central architect of national progress. In Tashkent, this transformation is evident in the revitalization of campuses and the renewed emphasis on output-driven scholarship.</w:t>
      </w:r>
    </w:p>
    <w:p>
      <w:pPr>
        <w:pStyle w:val="BodyText"/>
      </w:pPr>
      <w:r>
        <w:t xml:space="preserve">However, sustained success requires continuous investment in human capital. By addressing structural barriers and fostering an environment that values both local relevance and global standards, Uzbekistan can empower its</w:t>
      </w:r>
      <w:r>
        <w:t xml:space="preserve"> </w:t>
      </w:r>
      <w:r>
        <w:rPr>
          <w:bCs/>
          <w:b/>
        </w:rPr>
        <w:t xml:space="preserve">Academic Researcher</w:t>
      </w:r>
      <w:r>
        <w:t xml:space="preserve">s to become leaders in their fields. As Tashkent continues to position itself as a beacon of stability and innovation in Central Asia, the role of the researcher will remain pivotal in shaping a knowledge-based future for the nation.</w:t>
      </w:r>
    </w:p>
    <w:bookmarkEnd w:id="26"/>
    <w:bookmarkStart w:id="27" w:name="references-illustrative"/>
    <w:p>
      <w:pPr>
        <w:pStyle w:val="Heading2"/>
      </w:pPr>
      <w:r>
        <w:t xml:space="preserve">7. References (Illustrative)</w:t>
      </w:r>
    </w:p>
    <w:p>
      <w:pPr>
        <w:numPr>
          <w:ilvl w:val="0"/>
          <w:numId w:val="1002"/>
        </w:numPr>
        <w:pStyle w:val="Compact"/>
      </w:pPr>
      <w:r>
        <w:t xml:space="preserve">Republic of Uzbekistan Ministry of Higher Education, Science and Innovation. (2021). Strategy for Actions on Five Priority Directions.</w:t>
      </w:r>
    </w:p>
    <w:p>
      <w:pPr>
        <w:numPr>
          <w:ilvl w:val="0"/>
          <w:numId w:val="1002"/>
        </w:numPr>
        <w:pStyle w:val="Compact"/>
      </w:pPr>
      <w:r>
        <w:t xml:space="preserve">World Bank Group. (2022). Human Capital Development in Central Asia: The Role of Higher Education.</w:t>
      </w:r>
    </w:p>
    <w:p>
      <w:pPr>
        <w:numPr>
          <w:ilvl w:val="0"/>
          <w:numId w:val="1002"/>
        </w:numPr>
        <w:pStyle w:val="Compact"/>
      </w:pPr>
      <w:r>
        <w:t xml:space="preserve">Karimov, A., &amp; Smith, J. (2023). "Digital Transformation in Tashkent’s University Sector." Journal of Central Asian Studies.</w:t>
      </w:r>
    </w:p>
    <w:p>
      <w:pPr>
        <w:numPr>
          <w:ilvl w:val="0"/>
          <w:numId w:val="1002"/>
        </w:numPr>
        <w:pStyle w:val="Compact"/>
      </w:pPr>
      <w:r>
        <w:t xml:space="preserve">Australia-US Partnership for Education Initiative. (2022). Report on Academic Capacity Building in Uzbekistan.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Uzbekistan Tashkent: A Strategic Analysis</dc:title>
  <dc:creator/>
  <dc:language>en</dc:language>
  <cp:keywords/>
  <dcterms:created xsi:type="dcterms:W3CDTF">2026-07-29T20:34:50Z</dcterms:created>
  <dcterms:modified xsi:type="dcterms:W3CDTF">2026-07-29T20:34:50Z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