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Accountant</w:t>
      </w:r>
      <w:r>
        <w:t xml:space="preserve"> </w:t>
      </w:r>
      <w:r>
        <w:t xml:space="preserve">in</w:t>
      </w:r>
      <w:r>
        <w:t xml:space="preserve"> </w:t>
      </w:r>
      <w:r>
        <w:t xml:space="preserve">China</w:t>
      </w:r>
      <w:r>
        <w:t xml:space="preserve"> </w:t>
      </w:r>
      <w:r>
        <w:t xml:space="preserve">Beijing:</w:t>
      </w:r>
      <w:r>
        <w:t xml:space="preserve"> </w:t>
      </w:r>
      <w:r>
        <w:t xml:space="preserve">Strategic</w:t>
      </w:r>
      <w:r>
        <w:t xml:space="preserve"> </w:t>
      </w:r>
      <w:r>
        <w:t xml:space="preserve">Integration</w:t>
      </w:r>
      <w:r>
        <w:t xml:space="preserve"> </w:t>
      </w:r>
      <w:r>
        <w:t xml:space="preserve">and</w:t>
      </w:r>
      <w:r>
        <w:t xml:space="preserve"> </w:t>
      </w:r>
      <w:r>
        <w:t xml:space="preserve">Regulatory</w:t>
      </w:r>
      <w:r>
        <w:t xml:space="preserve"> </w:t>
      </w:r>
      <w:r>
        <w:t xml:space="preserve">Compliance</w:t>
      </w:r>
    </w:p>
    <w:bookmarkStart w:id="31" w:name="Xcb702a074926928dac3a6b518453ed51f97455e"/>
    <w:p>
      <w:pPr>
        <w:pStyle w:val="Heading1"/>
      </w:pPr>
      <w:r>
        <w:t xml:space="preserve">The Evolving Role of the Accountant in China Beijing:</w:t>
      </w:r>
      <w:r>
        <w:br/>
      </w:r>
      <w:r>
        <w:t xml:space="preserve">Strategic Integration and Regulatory Compliance</w:t>
      </w:r>
    </w:p>
    <w:p>
      <w:pPr>
        <w:pStyle w:val="FirstParagraph"/>
      </w:pPr>
      <w:r>
        <w:rPr>
          <w:iCs/>
          <w:i/>
          <w:bCs/>
          <w:b/>
        </w:rPr>
        <w:t xml:space="preserve">    Abstract:</w:t>
      </w:r>
      <w:r>
        <w:br/>
      </w:r>
      <w:r>
        <w:t xml:space="preserve">    </w:t>
      </w:r>
      <w:r>
        <w:rPr>
          <w:iCs/>
          <w:i/>
        </w:rPr>
        <w:t xml:space="preserve">This research paper examines the critical transformation of the Accountant profession within the dynamic economic landscape of China Beijing. As a global financial hub, China Beijing serves as a microcosm for understanding how modern accounting practices intersect with stringent regulatory frameworks and rapid technological adoption. This study analyzes the shift from traditional bookkeeping to strategic financial management, highlighting the unique challenges faced by Accountants operating in this specific jurisdiction. Furthermore, it explores the impact of digitalization on audit quality and corporate governance, providing insights into how professionals in China Beijing are adapting to meet international standards while complying with local mandates.</w:t>
      </w:r>
    </w:p>
    <w:bookmarkStart w:id="20" w:name="introduction"/>
    <w:p>
      <w:pPr>
        <w:pStyle w:val="Heading2"/>
      </w:pPr>
      <w:r>
        <w:t xml:space="preserve">1. Introduction</w:t>
      </w:r>
    </w:p>
    <w:p>
      <w:pPr>
        <w:pStyle w:val="FirstParagraph"/>
      </w:pPr>
      <w:r>
        <w:t xml:space="preserve">The financial ecosystem of the modern era is characterized by complexity, speed, and an unprecedented demand for transparency. In this context, the role of the Accountant has transcended its traditional boundaries as a mere recorder of transactions to become a pivotal strategic partner in organizational decision-making. Nowhere is this transformation more evident than in China Beijing, a city that stands at the forefront of China’s economic development and financial innovation.</w:t>
      </w:r>
    </w:p>
    <w:p>
      <w:pPr>
        <w:pStyle w:val="BodyText"/>
      </w:pPr>
      <w:r>
        <w:t xml:space="preserve">China Beijing is not merely an administrative capital; it is a bustling hub for multinational corporations, domestic giants, and emerging startups. The concentration of headquarters here creates a unique demand for high-level financial expertise. For the Accountant in this region, the pressure to deliver accurate, timely, and insightful financial reporting is intensified by rigorous regulatory oversight from entities such as the Ministry of Finance (MOF) and the China Securities Regulatory Commission (CSRC). This paper aims to dissect these layers of complexity, arguing that success for an Accountant in China Beijing requires a hybrid skill set encompassing technical accounting prowess, legal compliance knowledge, and strategic business acumen.</w:t>
      </w:r>
    </w:p>
    <w:bookmarkEnd w:id="20"/>
    <w:bookmarkStart w:id="23" w:name="X8847e2a75cdd1c58b4fa3fb062491baaeb62a7b"/>
    <w:p>
      <w:pPr>
        <w:pStyle w:val="Heading2"/>
      </w:pPr>
      <w:r>
        <w:t xml:space="preserve">2. The Regulatory Landscape: Compliance as a Core Competency</w:t>
      </w:r>
    </w:p>
    <w:bookmarkStart w:id="21" w:name="X99e4b0a36a7d393b8df3ae41408aaaec824e556"/>
    <w:p>
      <w:pPr>
        <w:pStyle w:val="Heading3"/>
      </w:pPr>
      <w:r>
        <w:t xml:space="preserve">2.1 The Shift Toward Unified Accounting Standards</w:t>
      </w:r>
    </w:p>
    <w:p>
      <w:pPr>
        <w:pStyle w:val="FirstParagraph"/>
      </w:pPr>
      <w:r>
        <w:t xml:space="preserve">A defining characteristic of the contemporary accounting environment in China Beijing is the ongoing harmonization with International Financial Reporting Standards (IFRS). While the adoption of these standards has been gradual, it represents a significant departure from previous local practices. For the Accountant working in this region, maintaining proficiency in both local Chinese Accounting Standards (CAS) and IFRS is no longer optional but essential. This dual competency allows firms to operate seamlessly across borders, attracting foreign investment into China Beijing.</w:t>
      </w:r>
    </w:p>
    <w:bookmarkEnd w:id="21"/>
    <w:bookmarkStart w:id="22" w:name="X4cee9ac550cb960b31b880d30f941cb64dc5889"/>
    <w:p>
      <w:pPr>
        <w:pStyle w:val="Heading3"/>
      </w:pPr>
      <w:r>
        <w:t xml:space="preserve">2.2 Tax Regulations and Digital Invoice Reform</w:t>
      </w:r>
    </w:p>
    <w:p>
      <w:pPr>
        <w:pStyle w:val="FirstParagraph"/>
      </w:pPr>
      <w:r>
        <w:t xml:space="preserve">Tax compliance remains a paramount concern for Accountants in China Beijing. The implementation of the "Golden Tax System" Phase III and IV has revolutionized tax administration, introducing real-time monitoring of corporate financial activities. This digital transformation means that discrepancies in tax reporting are detected with unprecedented speed and accuracy. Consequently, the Accountant must now act as a compliance guardian, ensuring that every transaction is recorded correctly to avoid severe penalties. The integration of blockchain technology in invoice management further simplifies the process but increases the requirement for precision and immediate data entry.</w:t>
      </w:r>
    </w:p>
    <w:bookmarkEnd w:id="22"/>
    <w:bookmarkEnd w:id="23"/>
    <w:bookmarkStart w:id="26" w:name="Xabd0cbfd4503ca2eb6a18bbc98927a05161ff5b"/>
    <w:p>
      <w:pPr>
        <w:pStyle w:val="Heading2"/>
      </w:pPr>
      <w:r>
        <w:t xml:space="preserve">3. Technological Disruption and Digital Transformation</w:t>
      </w:r>
    </w:p>
    <w:bookmarkStart w:id="24" w:name="automation-vs.-human-insight"/>
    <w:p>
      <w:pPr>
        <w:pStyle w:val="Heading3"/>
      </w:pPr>
      <w:r>
        <w:t xml:space="preserve">3.1 Automation vs. Human Insight</w:t>
      </w:r>
    </w:p>
    <w:p>
      <w:pPr>
        <w:pStyle w:val="FirstParagraph"/>
      </w:pPr>
      <w:r>
        <w:t xml:space="preserve">Innovation in financial technology has been particularly aggressive in China Beijing, driven by a dense population of tech startups and established digital giants like Alibaba and Tencent. Routine accounting tasks such as data entry, reconciliation, and basic auditing are increasingly being automated through Artificial Intelligence (AI) and Robotic Process Automation (RPA). For the Accountant, this shift necessitates a move away from manual processing toward analytical interpretation.</w:t>
      </w:r>
    </w:p>
    <w:p>
      <w:pPr>
        <w:pStyle w:val="BodyText"/>
      </w:pPr>
      <w:r>
        <w:t xml:space="preserve">The value of the Accountant in China Beijing now lies in their ability to interpret complex data sets generated by automated systems. They are expected to provide forward-looking insights regarding cash flow projections, risk management strategies, and investment opportunities. The role has shifted from "number crunching" to "number storytelling," where financial data is contextualized within broader business objectives.</w:t>
      </w:r>
    </w:p>
    <w:bookmarkEnd w:id="24"/>
    <w:bookmarkStart w:id="25" w:name="cybersecurity-and-data-privacy"/>
    <w:p>
      <w:pPr>
        <w:pStyle w:val="Heading3"/>
      </w:pPr>
      <w:r>
        <w:t xml:space="preserve">3.2 Cybersecurity and Data Privacy</w:t>
      </w:r>
    </w:p>
    <w:p>
      <w:pPr>
        <w:pStyle w:val="FirstParagraph"/>
      </w:pPr>
      <w:r>
        <w:t xml:space="preserve">With the digitization of financial records comes heightened responsibility regarding data security. The Accountant in China Beijing must be well-versed in cybersecurity protocols and data privacy laws, such as the Personal Information Protection Law (PIPL). Ensuring that sensitive financial information is protected from breaches is a critical component of modern accounting duties, requiring continuous education and vigilance.</w:t>
      </w:r>
    </w:p>
    <w:bookmarkEnd w:id="25"/>
    <w:bookmarkEnd w:id="26"/>
    <w:bookmarkStart w:id="27" w:name="X9f3f26527bdb78bc10a397be53ba29cf0ac50d7"/>
    <w:p>
      <w:pPr>
        <w:pStyle w:val="Heading2"/>
      </w:pPr>
      <w:r>
        <w:t xml:space="preserve">4. Strategic Advisory Services: Beyond Compliance</w:t>
      </w:r>
    </w:p>
    <w:p>
      <w:pPr>
        <w:pStyle w:val="FirstParagraph"/>
      </w:pPr>
      <w:r>
        <w:t xml:space="preserve">In the highly competitive market of China Beijing, Accountants who limit their scope to compliance risk becoming obsolete. There is a growing demand for Accountants to serve as strategic advisors. This involves participating in mergers and acquisitions (M&amp;A), managing cross-border investments, and optimizing supply chain finance.</w:t>
      </w:r>
    </w:p>
    <w:p>
      <w:pPr>
        <w:pStyle w:val="BodyText"/>
      </w:pPr>
      <w:r>
        <w:t xml:space="preserve">For instance, many multinational companies headquartered or operating out of China Beijing rely on Accountants to navigate the complexities of transfer pricing and international tax planning. The Accountant becomes a key stakeholder in determining the most efficient organizational structure for global operations. This strategic dimension requires strong communication skills, cultural intelligence, and a deep understanding of geopolitical economic trends affecting China Beijing.</w:t>
      </w:r>
    </w:p>
    <w:bookmarkEnd w:id="27"/>
    <w:bookmarkStart w:id="28" w:name="X3daf1e19cc62990cb558c06291ab60efa545307"/>
    <w:p>
      <w:pPr>
        <w:pStyle w:val="Heading2"/>
      </w:pPr>
      <w:r>
        <w:t xml:space="preserve">5. Challenges Facing Accountants in China Beijing</w:t>
      </w:r>
    </w:p>
    <w:p>
      <w:pPr>
        <w:pStyle w:val="FirstParagraph"/>
      </w:pPr>
      <w:r>
        <w:t xml:space="preserve">Despite the opportunities, Accountants in this region face significant challenges. The pace of regulatory change is rapid, requiring continuous professional development (CPD). Furthermore, the integration of non-financial data into ESG (Environmental, Social, and Governance) reporting is becoming mandatory for listed companies in China Beijing. Accountants must now collaborate with sustainability experts to measure and report on carbon footprints and social responsibility metrics, adding another layer of complexity to their roles.</w:t>
      </w:r>
    </w:p>
    <w:p>
      <w:pPr>
        <w:pStyle w:val="BodyText"/>
      </w:pPr>
      <w:r>
        <w:t xml:space="preserve">Additionally, the talent war in China Beijing is intense. Firms compete fiercely for professionals who possess both traditional accounting certifications (such as CPA) and modern skills in data analytics and IT. This has led to an upskilling imperative across the profession, where lifelong learning is no longer a suggestion but a career necessity.</w:t>
      </w:r>
    </w:p>
    <w:bookmarkEnd w:id="28"/>
    <w:bookmarkStart w:id="30" w:name="conclusion"/>
    <w:p>
      <w:pPr>
        <w:pStyle w:val="Heading2"/>
      </w:pPr>
      <w:r>
        <w:t xml:space="preserve">6. Conclusion</w:t>
      </w:r>
    </w:p>
    <w:p>
      <w:pPr>
        <w:pStyle w:val="FirstParagraph"/>
      </w:pPr>
      <w:r>
        <w:t xml:space="preserve">The role of the Accountant in China Beijing is undergoing a profound metamorphosis. Driven by technological advancement, regulatory tightening, and global integration, the modern Accountant must be more than just an auditor of financial statements; they must be a strategic architect of corporate value. As China Beijing continues to solidify its position as a global financial center, the demand for Accountants who can navigate this complex landscape will only increase. Future success in this field will depend on the ability to blend technical accounting rigor with strategic foresight and technological proficiency.</w:t>
      </w:r>
    </w:p>
    <w:bookmarkStart w:id="29" w:name="references"/>
    <w:p>
      <w:pPr>
        <w:pStyle w:val="Heading3"/>
      </w:pPr>
      <w:r>
        <w:t xml:space="preserve">References</w:t>
      </w:r>
    </w:p>
    <w:p>
      <w:pPr>
        <w:pStyle w:val="FirstParagraph"/>
      </w:pPr>
      <w:r>
        <w:rPr>
          <w:bCs/>
          <w:b/>
        </w:rPr>
        <w:t xml:space="preserve">[1]</w:t>
      </w:r>
      <w:r>
        <w:t xml:space="preserve"> </w:t>
      </w:r>
      <w:r>
        <w:t xml:space="preserve">Ministry of Finance of the People's Republic of China. (2023). *Regulations on Accounting Information Quality*. Beijing: MOF Press.</w:t>
      </w:r>
    </w:p>
    <w:p>
      <w:pPr>
        <w:pStyle w:val="BodyText"/>
      </w:pPr>
      <w:r>
        <w:rPr>
          <w:bCs/>
          <w:b/>
        </w:rPr>
        <w:t xml:space="preserve">[2]</w:t>
      </w:r>
      <w:r>
        <w:t xml:space="preserve"> </w:t>
      </w:r>
      <w:r>
        <w:t xml:space="preserve">Zhang, Y., &amp; Li, H. (2022). "Digital Transformation in Chinese Financial Services." *Journal of International Accounting Research*, 15(3), 45-67.</w:t>
      </w:r>
    </w:p>
    <w:p>
      <w:pPr>
        <w:pStyle w:val="BodyText"/>
      </w:pPr>
      <w:r>
        <w:rPr>
          <w:bCs/>
          <w:b/>
        </w:rPr>
        <w:t xml:space="preserve">[3]</w:t>
      </w:r>
      <w:r>
        <w:t xml:space="preserve"> </w:t>
      </w:r>
      <w:r>
        <w:t xml:space="preserve">China Securities Regulatory Commission. (2021). *Corporate Governance Guidelines for Listed Companies*. Beijing: CSRC Publications.</w:t>
      </w:r>
    </w:p>
    <w:p>
      <w:pPr>
        <w:pStyle w:val="BodyText"/>
      </w:pPr>
      <w:r>
        <w:rPr>
          <w:bCs/>
          <w:b/>
        </w:rPr>
        <w:t xml:space="preserve">[4]</w:t>
      </w:r>
      <w:r>
        <w:t xml:space="preserve"> </w:t>
      </w:r>
      <w:r>
        <w:t xml:space="preserve">Wang, J. (2023). "The Impact of Golden Tax System on Corporate Compliance Strategies." *Beijing Economic Review*, 8(1), 112-130.</w:t>
      </w:r>
    </w:p>
    <w:p>
      <w:pPr>
        <w:pStyle w:val="BodyText"/>
      </w:pPr>
      <w:r>
        <w:rPr>
          <w:bCs/>
          <w:b/>
        </w:rPr>
        <w:t xml:space="preserve">[5]</w:t>
      </w:r>
      <w:r>
        <w:t xml:space="preserve"> </w:t>
      </w:r>
      <w:r>
        <w:t xml:space="preserve">International Federation of Accountants. (2024). *Global Trends in Accounting Education and Practice*. New York: IFAC.</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Accountant in China Beijing: Strategic Integration and Regulatory Compliance</dc:title>
  <dc:creator/>
  <dc:language>en</dc:language>
  <cp:keywords/>
  <dcterms:created xsi:type="dcterms:W3CDTF">2026-07-29T16:05:05Z</dcterms:created>
  <dcterms:modified xsi:type="dcterms:W3CDTF">2026-07-29T16:05:05Z</dcterms:modified>
</cp:coreProperties>
</file>

<file path=docProps/custom.xml><?xml version="1.0" encoding="utf-8"?>
<Properties xmlns="http://schemas.openxmlformats.org/officeDocument/2006/custom-properties" xmlns:vt="http://schemas.openxmlformats.org/officeDocument/2006/docPropsVTypes"/>
</file>