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Dynamics</w:t>
      </w:r>
    </w:p>
    <w:bookmarkStart w:id="27" w:name="Xfd36d7f1f116a286b6c1fbc71fb86f7807530c8"/>
    <w:p>
      <w:pPr>
        <w:pStyle w:val="Heading1"/>
      </w:pPr>
      <w:r>
        <w:t xml:space="preserve">The Strategic Role of Accountants in Germany Frankfurt:</w:t>
      </w:r>
      <w:r>
        <w:br/>
      </w:r>
      <w:r>
        <w:t xml:space="preserve">Navigating Regulatory Complexity and Economic Dynamics</w:t>
      </w:r>
    </w:p>
    <w:p>
      <w:pPr>
        <w:pStyle w:val="FirstParagraph"/>
      </w:pPr>
      <w:r>
        <w:rPr>
          <w:bCs/>
          <w:b/>
        </w:rPr>
        <w:t xml:space="preserve">Date:</w:t>
      </w:r>
      <w:r>
        <w:t xml:space="preserve"> </w:t>
      </w:r>
      <w:r>
        <w:t xml:space="preserve">October 2023</w:t>
      </w:r>
      <w:r>
        <w:br/>
      </w:r>
    </w:p>
    <w:p>
      <w:pPr>
        <w:pStyle w:val="BodyText"/>
      </w:pPr>
      <w:r>
        <w:rPr>
          <w:iCs/>
          <w:i/>
        </w:rPr>
        <w:t xml:space="preserve">A Research Paper on Financial Stewardship and Compliance in Central Europe</w:t>
      </w:r>
    </w:p>
    <w:bookmarkStart w:id="20" w:name="i.-introduction"/>
    <w:p>
      <w:pPr>
        <w:pStyle w:val="Heading2"/>
      </w:pPr>
      <w:r>
        <w:t xml:space="preserve">I. Introduction</w:t>
      </w:r>
    </w:p>
    <w:p>
      <w:pPr>
        <w:pStyle w:val="FirstParagraph"/>
      </w:pPr>
      <w:r>
        <w:t xml:space="preserve">Frankfurt am Main stands as the undisputed financial heartbeat of continental Europe. As the headquarters to the European Central Bank, numerous major German banks, and a dense concentration of international corporations, Frankfurt represents a unique economic ecosystem. Within this high-stakes environment, the role of an</w:t>
      </w:r>
      <w:r>
        <w:t xml:space="preserve"> </w:t>
      </w:r>
      <w:r>
        <w:rPr>
          <w:bCs/>
          <w:b/>
        </w:rPr>
        <w:t xml:space="preserve">Accountant</w:t>
      </w:r>
      <w:r>
        <w:t xml:space="preserve"> </w:t>
      </w:r>
      <w:r>
        <w:t xml:space="preserve">transcends traditional bookkeeping; it evolves into a critical strategic function that ensures regulatory compliance, financial transparency, and operational efficiency. This research paper explores the multifaceted responsibilities of accountants operating specifically within</w:t>
      </w:r>
      <w:r>
        <w:t xml:space="preserve"> </w:t>
      </w:r>
      <w:r>
        <w:rPr>
          <w:bCs/>
          <w:b/>
        </w:rPr>
        <w:t xml:space="preserve">Germany Frankfurt</w:t>
      </w:r>
      <w:r>
        <w:t xml:space="preserve">, examining how local regulations, international tax laws, and the specific economic climate of Hesse influence professional practice.</w:t>
      </w:r>
    </w:p>
    <w:p>
      <w:pPr>
        <w:pStyle w:val="BodyText"/>
      </w:pPr>
      <w:r>
        <w:t xml:space="preserve">The significance of this region cannot be overstated. The juxtaposition of global financial power with strict German statutory requirements creates a complex landscape for financial professionals. For businesses establishing a presence in</w:t>
      </w:r>
      <w:r>
        <w:t xml:space="preserve"> </w:t>
      </w:r>
      <w:r>
        <w:rPr>
          <w:bCs/>
          <w:b/>
        </w:rPr>
        <w:t xml:space="preserve">Germany Frankfurt</w:t>
      </w:r>
      <w:r>
        <w:t xml:space="preserve">, understanding the nuances of local accounting standards is not merely an administrative necessity but a strategic imperative for long-term viability and growth.</w:t>
      </w:r>
    </w:p>
    <w:bookmarkEnd w:id="20"/>
    <w:bookmarkStart w:id="21" w:name="Xc46dfe2c1adbbfd382a076e8ac739fb140f8a75"/>
    <w:p>
      <w:pPr>
        <w:pStyle w:val="Heading2"/>
      </w:pPr>
      <w:r>
        <w:t xml:space="preserve">II. The Regulatory Framework: HGB vs. IFRS</w:t>
      </w:r>
    </w:p>
    <w:p>
      <w:pPr>
        <w:pStyle w:val="FirstParagraph"/>
      </w:pPr>
      <w:r>
        <w:t xml:space="preserve">The foundation of any discussion regarding accountants in</w:t>
      </w:r>
      <w:r>
        <w:t xml:space="preserve"> </w:t>
      </w:r>
      <w:r>
        <w:rPr>
          <w:bCs/>
          <w:b/>
        </w:rPr>
        <w:t xml:space="preserve">Germany Frankfurt</w:t>
      </w:r>
      <w:r>
        <w:t xml:space="preserve"> </w:t>
      </w:r>
      <w:r>
        <w:t xml:space="preserve">must address the dual reporting standards that govern financial statements in Germany. Accountants in this region are required to possess a sophisticated understanding of both the Handelsgesetzbuch (HGB) and International Financial Reporting Standards (IFRS).</w:t>
      </w:r>
    </w:p>
    <w:p>
      <w:pPr>
        <w:pStyle w:val="BodyText"/>
      </w:pPr>
      <w:r>
        <w:t xml:space="preserve">The HGB is the German Commercial Code, which dictates mandatory accounting principles for all corporations operating within Germany. It emphasizes prudence, creditor protection, and transparency. In contrast, IFRS is primarily used by large capital-market-oriented companies listed on stock exchanges. Given that Frankfurt hosts several major banks and publicly traded firms (DAX-listed companies), many accountants in the city must be dual-qualified or possess deep expertise in translating HGB compliance into IFRS-ready formats. This duality requires a high level of technical proficiency, as the transition between these frameworks involves significant adjustments in revenue recognition, asset valuation, and liability reporting.</w:t>
      </w:r>
    </w:p>
    <w:bookmarkEnd w:id="21"/>
    <w:bookmarkStart w:id="22" w:name="Xcf91aaa57f13b4c834eef176a185db7b0d3eb2c"/>
    <w:p>
      <w:pPr>
        <w:pStyle w:val="Heading2"/>
      </w:pPr>
      <w:r>
        <w:t xml:space="preserve">III. The Importance of Local Compliance and Taxation</w:t>
      </w:r>
    </w:p>
    <w:p>
      <w:pPr>
        <w:pStyle w:val="FirstParagraph"/>
      </w:pPr>
      <w:r>
        <w:t xml:space="preserve">Taxation in Germany is notoriously complex, characterized by federal laws that are applied through local municipal authorities. In</w:t>
      </w:r>
      <w:r>
        <w:t xml:space="preserve"> </w:t>
      </w:r>
      <w:r>
        <w:rPr>
          <w:bCs/>
          <w:b/>
        </w:rPr>
        <w:t xml:space="preserve">Germany Frankfurt</w:t>
      </w:r>
      <w:r>
        <w:t xml:space="preserve">, accountants play a pivotal role in navigating the interplay between corporate tax (Körperschaftsteuer), trade tax (Gewerbesteuer), and value-added tax (VAT).</w:t>
      </w:r>
    </w:p>
    <w:p>
      <w:pPr>
        <w:pStyle w:val="BodyText"/>
      </w:pPr>
      <w:r>
        <w:t xml:space="preserve">The concept of</w:t>
      </w:r>
      <w:r>
        <w:t xml:space="preserve"> </w:t>
      </w:r>
      <w:r>
        <w:rPr>
          <w:iCs/>
          <w:i/>
        </w:rPr>
        <w:t xml:space="preserve">Gewerbesteuer</w:t>
      </w:r>
      <w:r>
        <w:t xml:space="preserve"> </w:t>
      </w:r>
      <w:r>
        <w:t xml:space="preserve">is particularly relevant to</w:t>
      </w:r>
      <w:r>
        <w:t xml:space="preserve"> </w:t>
      </w:r>
      <w:r>
        <w:rPr>
          <w:bCs/>
          <w:b/>
        </w:rPr>
        <w:t xml:space="preserve">Germany Frankfurt</w:t>
      </w:r>
      <w:r>
        <w:t xml:space="preserve">, as each municipality sets its own trade tax multiplier (</w:t>
      </w:r>
      <w:r>
        <w:rPr>
          <w:iCs/>
          <w:i/>
        </w:rPr>
        <w:t xml:space="preserve">Hebesatz</w:t>
      </w:r>
      <w:r>
        <w:t xml:space="preserve">). Frankfurt am Main has a specific multiplier that impacts the bottom line of businesses operating within its city limits. Accountants must meticulously calculate these liabilities, ensuring that companies optimize their tax positions while remaining fully compliant with strict German anti-avoidance laws. Furthermore, recent changes in digital taxation and international profit-shifting regulations (such as BEPS initiatives) have increased the burden on financial professionals to stay abreast of evolving legal interpretations.</w:t>
      </w:r>
    </w:p>
    <w:p>
      <w:pPr>
        <w:pStyle w:val="BodyText"/>
      </w:pPr>
      <w:r>
        <w:t xml:space="preserve">Error in these calculations can lead to severe penalties, audits by the local Finanzamt (tax office), and reputational damage. Therefore, the accountant in</w:t>
      </w:r>
      <w:r>
        <w:t xml:space="preserve"> </w:t>
      </w:r>
      <w:r>
        <w:rPr>
          <w:bCs/>
          <w:b/>
        </w:rPr>
        <w:t xml:space="preserve">Germany Frankfurt</w:t>
      </w:r>
      <w:r>
        <w:t xml:space="preserve"> </w:t>
      </w:r>
      <w:r>
        <w:t xml:space="preserve">acts not only as a recorder of history but as a proactive shield against regulatory risk.</w:t>
      </w:r>
    </w:p>
    <w:bookmarkEnd w:id="22"/>
    <w:bookmarkStart w:id="23" w:name="Xfc093b4eb54e9c80baccc6a2ac3957d099772af"/>
    <w:p>
      <w:pPr>
        <w:pStyle w:val="Heading2"/>
      </w:pPr>
      <w:r>
        <w:t xml:space="preserve">IV. The Impact of Digitalization and Industry 4.0</w:t>
      </w:r>
    </w:p>
    <w:p>
      <w:pPr>
        <w:pStyle w:val="FirstParagraph"/>
      </w:pPr>
      <w:r>
        <w:t xml:space="preserve">The financial district of Frankfurt is increasingly integrating with the broader German push toward Industry 4.0 and digital transformation. Accountants in this region are no longer confined to spreadsheets; they must manage complex Enterprise Resource Planning (ERP) systems such as SAP, which is headquartered nearby in Walldorf and widely used by Frankfurt-based enterprises.</w:t>
      </w:r>
    </w:p>
    <w:p>
      <w:pPr>
        <w:pStyle w:val="BodyText"/>
      </w:pPr>
      <w:r>
        <w:t xml:space="preserve">The adoption of artificial intelligence and cloud-based accounting software has changed the skill set required for modern accountants. In</w:t>
      </w:r>
      <w:r>
        <w:t xml:space="preserve"> </w:t>
      </w:r>
      <w:r>
        <w:rPr>
          <w:bCs/>
          <w:b/>
        </w:rPr>
        <w:t xml:space="preserve">Germany Frankfurt</w:t>
      </w:r>
      <w:r>
        <w:t xml:space="preserve">, firms are expected to leverage data analytics to provide predictive financial modeling rather than just retrospective reporting. This shift allows accountants to offer advisory services that help clients navigate market volatility, supply chain disruptions, and currency fluctuations—critical issues given the international nature of trade through this hub.</w:t>
      </w:r>
    </w:p>
    <w:p>
      <w:pPr>
        <w:pStyle w:val="BodyText"/>
      </w:pPr>
      <w:r>
        <w:t xml:space="preserve">Moreover, data privacy laws within the European Union (GDPR) impose strict controls on how financial data is stored and processed. Accountants in</w:t>
      </w:r>
      <w:r>
        <w:t xml:space="preserve"> </w:t>
      </w:r>
      <w:r>
        <w:rPr>
          <w:bCs/>
          <w:b/>
        </w:rPr>
        <w:t xml:space="preserve">Germany Frankfurt</w:t>
      </w:r>
      <w:r>
        <w:t xml:space="preserve"> </w:t>
      </w:r>
      <w:r>
        <w:t xml:space="preserve">must ensure that their digital infrastructure complies with these stringent privacy standards, adding another layer of technical responsibility to their role.</w:t>
      </w:r>
    </w:p>
    <w:bookmarkEnd w:id="23"/>
    <w:bookmarkStart w:id="24" w:name="v.-cultural-and-linguistic-nuances"/>
    <w:p>
      <w:pPr>
        <w:pStyle w:val="Heading2"/>
      </w:pPr>
      <w:r>
        <w:t xml:space="preserve">V. Cultural and Linguistic Nuances</w:t>
      </w:r>
    </w:p>
    <w:p>
      <w:pPr>
        <w:pStyle w:val="FirstParagraph"/>
      </w:pPr>
      <w:r>
        <w:t xml:space="preserve">A critical, often overlooked aspect of being an accountant in</w:t>
      </w:r>
      <w:r>
        <w:t xml:space="preserve"> </w:t>
      </w:r>
      <w:r>
        <w:rPr>
          <w:bCs/>
          <w:b/>
        </w:rPr>
        <w:t xml:space="preserve">Germany Frankfurt</w:t>
      </w:r>
      <w:r>
        <w:t xml:space="preserve"> </w:t>
      </w:r>
      <w:r>
        <w:t xml:space="preserve">is the cultural dimension. Germany operates on a culture of precision, formality, and rigorous documentation (</w:t>
      </w:r>
      <w:r>
        <w:rPr>
          <w:iCs/>
          <w:i/>
        </w:rPr>
        <w:t xml:space="preserve">Dokumentationspflicht</w:t>
      </w:r>
      <w:r>
        <w:t xml:space="preserve">). The concept of "Schwarzarbeit" (illegal off-the-books work) is strictly policed and socially frowned upon.</w:t>
      </w:r>
    </w:p>
    <w:p>
      <w:pPr>
        <w:pStyle w:val="BodyText"/>
      </w:pPr>
      <w:r>
        <w:t xml:space="preserve">For international accountants working in</w:t>
      </w:r>
      <w:r>
        <w:t xml:space="preserve"> </w:t>
      </w:r>
      <w:r>
        <w:rPr>
          <w:bCs/>
          <w:b/>
        </w:rPr>
        <w:t xml:space="preserve">Germany Frankfurt</w:t>
      </w:r>
      <w:r>
        <w:t xml:space="preserve">, fluency in German business terminology is essential. While English may suffice for internal discussions within multinational corporations, all legal filings, tax returns, and official correspondence with the Finanzamt must be conducted in precise German. Misunderstandings due to linguistic nuances can lead to compliance failures. Furthermore, understanding the local business etiquette—such as the importance of punctuality and formal titles—is vital for building trust with local clients and regulatory bodies.</w:t>
      </w:r>
    </w:p>
    <w:bookmarkEnd w:id="24"/>
    <w:bookmarkStart w:id="25" w:name="X7c895308770381a9841083ca2f8d27b0b15a1a3"/>
    <w:p>
      <w:pPr>
        <w:pStyle w:val="Heading2"/>
      </w:pPr>
      <w:r>
        <w:t xml:space="preserve">VI. The Future Outlook: Sustainability and ESG</w:t>
      </w:r>
    </w:p>
    <w:p>
      <w:pPr>
        <w:pStyle w:val="FirstParagraph"/>
      </w:pPr>
      <w:r>
        <w:t xml:space="preserve">The future of accounting in</w:t>
      </w:r>
      <w:r>
        <w:t xml:space="preserve"> </w:t>
      </w:r>
      <w:r>
        <w:rPr>
          <w:bCs/>
          <w:b/>
        </w:rPr>
        <w:t xml:space="preserve">Germany Frankfurt</w:t>
      </w:r>
      <w:r>
        <w:t xml:space="preserve"> </w:t>
      </w:r>
      <w:r>
        <w:t xml:space="preserve">is increasingly linked to Environmental, Social, and Governance (ESG) criteria. With the implementation of the new Corporate Sustainability Reporting Directive (CSRD), companies listed or operating significantly in Europe will soon be required to disclose non-financial information alongside their financial data.</w:t>
      </w:r>
    </w:p>
    <w:p>
      <w:pPr>
        <w:pStyle w:val="BodyText"/>
      </w:pPr>
      <w:r>
        <w:t xml:space="preserve">Accountants are at the forefront of this change. They must develop methodologies for measuring carbon footprints, assessing social impact, and governing ethical practices. For firms in</w:t>
      </w:r>
      <w:r>
        <w:t xml:space="preserve"> </w:t>
      </w:r>
      <w:r>
        <w:rPr>
          <w:bCs/>
          <w:b/>
        </w:rPr>
        <w:t xml:space="preserve">Germany Frankfurt</w:t>
      </w:r>
      <w:r>
        <w:t xml:space="preserve">, which often lead in sustainable finance initiatives, the accountant’s role is expanding to include sustainability auditing and reporting. This evolution positions the accountant as a key stakeholder in the transition toward a more sustainable economic model.</w:t>
      </w:r>
    </w:p>
    <w:bookmarkEnd w:id="25"/>
    <w:bookmarkStart w:id="26" w:name="vii.-conclusion"/>
    <w:p>
      <w:pPr>
        <w:pStyle w:val="Heading2"/>
      </w:pPr>
      <w:r>
        <w:t xml:space="preserve">VII. 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Germany Frankfurt</w:t>
      </w:r>
      <w:r>
        <w:t xml:space="preserve"> </w:t>
      </w:r>
      <w:r>
        <w:t xml:space="preserve">is one of immense responsibility and strategic importance. Operating in one of Europe’s most dynamic financial centers requires a unique blend of technical expertise in HGB/IFRS standards, deep knowledge of local tax implications, proficiency in digital tools, and cultural sensitivity. As regulations tighten and the demand for transparency grows—particularly regarding sustainability—the accountant transforms from a back-office function to a central pillar of corporate governance.</w:t>
      </w:r>
    </w:p>
    <w:p>
      <w:pPr>
        <w:pStyle w:val="BodyText"/>
      </w:pPr>
      <w:r>
        <w:t xml:space="preserve">For any entity seeking to thrive in</w:t>
      </w:r>
      <w:r>
        <w:t xml:space="preserve"> </w:t>
      </w:r>
      <w:r>
        <w:rPr>
          <w:bCs/>
          <w:b/>
        </w:rPr>
        <w:t xml:space="preserve">Germany Frankfurt</w:t>
      </w:r>
      <w:r>
        <w:t xml:space="preserve">, engaging with competent, compliant, and forward-thinking accounting professionals is not optional; it is fundamental. The complexity of the local environment demands partners who can navigate the intricacies of German law while leveraging global best practices to drive business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Germany Frankfurt: Navigating Regulatory Complexity and Economic Dynamics</dc:title>
  <dc:creator/>
  <dc:language>en</dc:language>
  <cp:keywords/>
  <dcterms:created xsi:type="dcterms:W3CDTF">2026-07-29T20:30:54Z</dcterms:created>
  <dcterms:modified xsi:type="dcterms:W3CDTF">2026-07-29T20:30:54Z</dcterms:modified>
</cp:coreProperties>
</file>

<file path=docProps/custom.xml><?xml version="1.0" encoding="utf-8"?>
<Properties xmlns="http://schemas.openxmlformats.org/officeDocument/2006/custom-properties" xmlns:vt="http://schemas.openxmlformats.org/officeDocument/2006/docPropsVTypes"/>
</file>