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Diversification</w:t>
      </w:r>
    </w:p>
    <w:bookmarkStart w:id="28" w:name="X386b408efa32104e64212713b870959b125b159"/>
    <w:p>
      <w:pPr>
        <w:pStyle w:val="Heading1"/>
      </w:pPr>
      <w:r>
        <w:t xml:space="preserve">The Evolving Role of the Accountant in Kuwait City</w:t>
      </w:r>
    </w:p>
    <w:p>
      <w:pPr>
        <w:pStyle w:val="FirstParagraph"/>
      </w:pPr>
      <w:r>
        <w:rPr>
          <w:bCs/>
          <w:b/>
        </w:rPr>
        <w:t xml:space="preserve">A Research Paper on Financial Stewardship within a Diversifying Economy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accountant within the dynamic business environment of Kuwait City. As Kuwait accelerates its transition from a petrocentric economy toward a diversified financial hub under Vision 2035 (New Kuwait), the role of accounting professionals has transcended traditional bookkeeping to encompass strategic advisory, regulatory compliance, and technological integration. This document analyzes the specific challenges and opportunities facing accountants in Kuwait City, focusing on adherence to local statutory requirements such as those mandated by the Central Bank of Kuwait and the Ministry of Commerce and Industry. Furthermore, it explores how modern accounting practices are being reshaped by international financial reporting standards (IFRS) and digital transformation initiatives.</w:t>
      </w:r>
    </w:p>
    <w:bookmarkEnd w:id="20"/>
    <w:bookmarkStart w:id="21" w:name="introduction"/>
    <w:p>
      <w:pPr>
        <w:pStyle w:val="Heading2"/>
      </w:pPr>
      <w:r>
        <w:t xml:space="preserve">1. Introduction</w:t>
      </w:r>
    </w:p>
    <w:p>
      <w:pPr>
        <w:pStyle w:val="FirstParagraph"/>
      </w:pPr>
      <w:r>
        <w:t xml:space="preserve">Kuwait City stands as the economic heart of Kuwait, hosting the nation's most significant commercial activities, banking institutions, and corporate headquarters. Within this bustling metropolis, the accountant serves not merely as a recorder of financial transactions but as a guardian of fiscal integrity and a strategic partner in organizational growth. The unique position of Kuwait City requires accountants to navigate a complex landscape characterized by rapid legislative updates, cultural nuances in business practices, and the urgent need for modernization.</w:t>
      </w:r>
    </w:p>
    <w:p>
      <w:pPr>
        <w:pStyle w:val="BodyText"/>
      </w:pPr>
      <w:r>
        <w:t xml:space="preserve">The purpose of this paper is to articulate the multifaceted responsibilities of an accountant operating specifically within Kuwait City. It argues that the success of businesses in this region is intrinsically linked to the competency and adaptability of financial professionals who can bridge local regulatory demands with global best practices. As Kuwait seeks to attract foreign direct investment (FDI) and promote private sector participation, the precision, transparency, and strategic insight provided by accountants become paramount.</w:t>
      </w:r>
    </w:p>
    <w:bookmarkEnd w:id="21"/>
    <w:bookmarkStart w:id="22" w:name="Xe2445b0553dd93d81e5e50cfcec65896966ccae"/>
    <w:p>
      <w:pPr>
        <w:pStyle w:val="Heading2"/>
      </w:pPr>
      <w:r>
        <w:t xml:space="preserve">2. Regulatory Framework and Compliance in Kuwait City</w:t>
      </w:r>
    </w:p>
    <w:p>
      <w:pPr>
        <w:pStyle w:val="FirstParagraph"/>
      </w:pPr>
      <w:r>
        <w:t xml:space="preserve">The primary challenge for an accountant in Kuwait City is maintaining rigorous compliance with a evolving regulatory framework. Historically governed by older commercial laws, the legal environment has undergone significant reforms to align with international standards and enhance transparency. Accountants must possess deep knowledge of the Commercial Companies Law, which dictates corporate governance structures and financial disclosure requirements for various entity types, including Limited Liability Companies (LLCs) and Joint Stock Companies (JSCs).</w:t>
      </w:r>
    </w:p>
    <w:p>
      <w:pPr>
        <w:pStyle w:val="BodyText"/>
      </w:pPr>
      <w:r>
        <w:t xml:space="preserve">Furthermore, accountants in Kuwait City must adhere to strict anti-money laundering (AML) regulations and know-your-customer (KYC) protocols enforced by the Central Bank of Kuwait. In a city where the financial sector is a cornerstone of national revenue, ensuring that financial reports accurately reflect economic realities without facilitating illicit activities is a critical ethical and legal duty. The introduction of Value Added Tax (VAT), although recently implemented compared to regional neighbors, has added another layer of complexity requiring accountants to revise invoicing systems, audit trails, and reporting mechanisms.</w:t>
      </w:r>
    </w:p>
    <w:bookmarkEnd w:id="22"/>
    <w:bookmarkStart w:id="23" w:name="Xe28eb1083af583291af1645b97b387cbefa5d25"/>
    <w:p>
      <w:pPr>
        <w:pStyle w:val="Heading2"/>
      </w:pPr>
      <w:r>
        <w:t xml:space="preserve">3. The Impact of Vision 2035 on Accounting Practices</w:t>
      </w:r>
    </w:p>
    <w:p>
      <w:pPr>
        <w:pStyle w:val="FirstParagraph"/>
      </w:pPr>
      <w:r>
        <w:t xml:space="preserve">Kuwait’s "New Kuwait" Vision 2035 aims to diversify the economy by developing sectors such as finance, trade, logistics, and tourism. This strategic shift places immense pressure on accountants in Kuwait City to evolve from passive compliance officers into active facilitators of business expansion. As new industries emerge and foreign companies establish regional headquarters in Kuwait City due to relaxed ownership laws, the demand for sophisticated financial planning increases.</w:t>
      </w:r>
    </w:p>
    <w:p>
      <w:pPr>
        <w:pStyle w:val="BodyText"/>
      </w:pPr>
      <w:r>
        <w:t xml:space="preserve">Accountants are now expected to provide feasibility studies, risk assessment models, and investment analysis that support strategic decision-making. For instance, as Kuwait City develops its real estate and hospitality sectors post-World Cup 2022 preparations and ongoing infrastructure projects like the Silk City initiative (which has cross-border implications with Saudi Arabia), accountants must manage large-scale project financing and cost control mechanisms. Their ability to interpret international trends and apply them to local market conditions is crucial for sustainable business growth.</w:t>
      </w:r>
    </w:p>
    <w:bookmarkEnd w:id="23"/>
    <w:bookmarkStart w:id="24" w:name="X40d43e8cb996e59677c770be3c2ba1c120b3a18"/>
    <w:p>
      <w:pPr>
        <w:pStyle w:val="Heading2"/>
      </w:pPr>
      <w:r>
        <w:t xml:space="preserve">4. Technological Integration and Digital Transformation</w:t>
      </w:r>
    </w:p>
    <w:p>
      <w:pPr>
        <w:pStyle w:val="FirstParagraph"/>
      </w:pPr>
      <w:r>
        <w:t xml:space="preserve">The digital revolution has reshaped the accounting profession globally, and Kuwait City is no exception. The adoption of cloud-based accounting software, artificial intelligence (AI) in auditing, and blockchain technology for transaction verification is accelerating among firms operating in the capital city. Accountants must now be proficient not only in financial principles but also in data analytics and cybersecurity.</w:t>
      </w:r>
    </w:p>
    <w:p>
      <w:pPr>
        <w:pStyle w:val="BodyText"/>
      </w:pPr>
      <w:r>
        <w:t xml:space="preserve">In Kuwait City, where government digitalization initiatives are prominent (such as the E-Kuwait initiative), accountants play a vital role in interfacing with electronic tax portals and digital banking systems. This requires continuous upskilling. Traditional manual ledgers are being replaced by automated systems that offer real-time financial visibility. Consequently, the accountant’s role is shifting toward data interpretation rather than data entry, allowing them to provide more timely and actionable insights to stakeholders.</w:t>
      </w:r>
    </w:p>
    <w:bookmarkEnd w:id="24"/>
    <w:bookmarkStart w:id="25" w:name="cultural-and-ethical-considerations"/>
    <w:p>
      <w:pPr>
        <w:pStyle w:val="Heading2"/>
      </w:pPr>
      <w:r>
        <w:t xml:space="preserve">5. Cultural and Ethical Considerations</w:t>
      </w:r>
    </w:p>
    <w:p>
      <w:pPr>
        <w:pStyle w:val="FirstParagraph"/>
      </w:pPr>
      <w:r>
        <w:t xml:space="preserve">Operating in Kuwait City also requires accountants to navigate specific cultural contexts. Business relationships are often built on trust and long-term personal connections. While maintaining professional independence, accountants must understand the local business etiquette, which can influence negotiation styles and communication regarding financial constraints. Additionally, Islamic finance principles permeate many financial transactions in Kuwait. Accountants must be knowledgeable about Sharia-compliant accounting treatments to ensure that financial products and reports align with religious guidelines, a requirement for many local enterprises and banking institutions.</w:t>
      </w:r>
    </w:p>
    <w:p>
      <w:pPr>
        <w:pStyle w:val="BodyText"/>
      </w:pPr>
      <w:r>
        <w:t xml:space="preserve">Ethical standards are equally important. With increasing scrutiny on corporate governance, accountants serve as the moral compass of their organizations. They must resist pressures to manipulate financial statements for short-term gains, ensuring that the financial health reported in Kuwait City’s competitive market reflects true economic performance.</w:t>
      </w:r>
    </w:p>
    <w:bookmarkEnd w:id="25"/>
    <w:bookmarkStart w:id="26" w:name="future-outlook-and-recommendations"/>
    <w:p>
      <w:pPr>
        <w:pStyle w:val="Heading2"/>
      </w:pPr>
      <w:r>
        <w:t xml:space="preserve">6. Future Outlook and Recommendations</w:t>
      </w:r>
    </w:p>
    <w:p>
      <w:pPr>
        <w:pStyle w:val="FirstParagraph"/>
      </w:pPr>
      <w:r>
        <w:t xml:space="preserve">The future of accounting in Kuwait City looks promising but demanding. As the economy diversifies, the role of the accountant will continue to expand into areas such as sustainability reporting (ESG), which is gaining traction among international investors looking at GCC markets. To remain relevant, accountants in Kuwait City must commit to lifelong learning and professional certification.</w:t>
      </w:r>
    </w:p>
    <w:p>
      <w:pPr>
        <w:pStyle w:val="BodyText"/>
      </w:pPr>
      <w:r>
        <w:t xml:space="preserve">It is recommended that accounting firms in Kuwait City invest heavily in training programs focused on data analytics, IFRS updates, and regional tax laws. Moreover, fostering a culture of innovation within these firms will enable them to serve clients more effectively in a rapidly changing economic landscape.</w:t>
      </w:r>
    </w:p>
    <w:bookmarkEnd w:id="26"/>
    <w:bookmarkStart w:id="27" w:name="conclusion"/>
    <w:p>
      <w:pPr>
        <w:pStyle w:val="Heading2"/>
      </w:pPr>
      <w:r>
        <w:t xml:space="preserve">7. Conclusion</w:t>
      </w:r>
    </w:p>
    <w:p>
      <w:pPr>
        <w:pStyle w:val="FirstParagraph"/>
      </w:pPr>
      <w:r>
        <w:t xml:space="preserve">In conclusion, the accountant in Kuwait City is an indispensable asset to the nation’s economic fabric. They operate at the intersection of tradition and modernity, local regulation and global standards. As Kuwait City strives to become a regional financial hub, the competence of its accounting professionals will directly influence investor confidence and economic stability. By embracing technological advancements, adhering strictly to regulatory frameworks, and providing strategic value beyond compliance, accountants are poised to drive the next phase of Kuwait’s economic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Kuwait City: Navigating Regulatory Complexity and Economic Diversification</dc:title>
  <dc:creator/>
  <dc:language>en</dc:language>
  <cp:keywords/>
  <dcterms:created xsi:type="dcterms:W3CDTF">2026-07-29T17:16:11Z</dcterms:created>
  <dcterms:modified xsi:type="dcterms:W3CDTF">2026-07-29T17:16:11Z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