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Navigating</w:t>
      </w:r>
      <w:r>
        <w:t xml:space="preserve"> </w:t>
      </w:r>
      <w:r>
        <w:t xml:space="preserve">Modern</w:t>
      </w:r>
      <w:r>
        <w:t xml:space="preserve"> </w:t>
      </w:r>
      <w:r>
        <w:t xml:space="preserve">Financial</w:t>
      </w:r>
      <w:r>
        <w:t xml:space="preserve"> </w:t>
      </w:r>
      <w:r>
        <w:t xml:space="preserve">Landscapes</w:t>
      </w:r>
    </w:p>
    <w:bookmarkStart w:id="33" w:name="X2b6647e4f72113bc46a330f4d58e138f82f07ee"/>
    <w:p>
      <w:pPr>
        <w:pStyle w:val="Heading1"/>
      </w:pPr>
      <w:r>
        <w:t xml:space="preserve">The Strategic Role of the Accountant in Malaysia Kuala Lumpur</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Malaysia, Kuala Lumpur</w:t>
      </w:r>
      <w:r>
        <w:br/>
      </w:r>
      <w:r>
        <w:rPr>
          <w:bCs/>
          <w:b/>
        </w:rPr>
        <w:t xml:space="preserve">District/Focus Area:</w:t>
      </w:r>
      <w:r>
        <w:t xml:space="preserve"> </w:t>
      </w:r>
      <w:r>
        <w:t xml:space="preserve">The Klang Valley Business Hub</w:t>
      </w:r>
    </w:p>
    <w:bookmarkStart w:id="20" w:name="abstract"/>
    <w:p>
      <w:pPr>
        <w:pStyle w:val="Heading3"/>
      </w:pPr>
      <w:r>
        <w:t xml:space="preserve">Abstract</w:t>
      </w:r>
    </w:p>
    <w:p>
      <w:pPr>
        <w:pStyle w:val="FirstParagraph"/>
      </w:pPr>
      <w:r>
        <w:t xml:space="preserve">This research paper explores the evolving role of the Accountant within the dynamic economic ecosystem of Malaysia, specifically focusing on Kuala Lumpur. As Malaysia’s capital and primary financial hub, Kuala Lumpur presents a unique environment for accounting professionals who must navigate complex regulatory frameworks such as those established by MIA and LHDN. This document analyzes how modern Accountants in this region have transitioned from traditional bookkeepers to strategic business partners, leveraging technology and international standards to drive corporate governance and sustainability.</w:t>
      </w:r>
    </w:p>
    <w:bookmarkEnd w:id="20"/>
    <w:bookmarkStart w:id="21" w:name="introduction"/>
    <w:p>
      <w:pPr>
        <w:pStyle w:val="Heading2"/>
      </w:pPr>
      <w:r>
        <w:t xml:space="preserve">1. Introduction</w:t>
      </w:r>
    </w:p>
    <w:p>
      <w:pPr>
        <w:pStyle w:val="FirstParagraph"/>
      </w:pPr>
      <w:r>
        <w:t xml:space="preserve">Kuala Lumpur stands as the beating heart of Malaysia’s economy, hosting the majority of multinational corporations, regional headquarters, and growing local enterprises. Within this bustling metropolitan landscape, the Accountant serves not merely as a recorder of financial transactions but as a critical guardian of fiscal integrity and strategic advisor. The purpose of this paper is to delineate the multifaceted responsibilities required by an Accountant operating in Kuala Lumpur today.</w:t>
      </w:r>
    </w:p>
    <w:p>
      <w:pPr>
        <w:pStyle w:val="BodyText"/>
      </w:pPr>
      <w:r>
        <w:t xml:space="preserve">The significance of accurate financial reporting cannot be overstated in Malaysia’s competitive market. As investors increasingly demand transparency, the Accountant becomes the primary interface between a company’s internal operations and external stakeholders. Whether dealing with local SMEs or global conglomerates based in KL Tower or Menara UMNO, the requirement for precision remains universal.</w:t>
      </w:r>
    </w:p>
    <w:bookmarkEnd w:id="21"/>
    <w:bookmarkStart w:id="24" w:name="regulatory-framework-and-compliance"/>
    <w:p>
      <w:pPr>
        <w:pStyle w:val="Heading2"/>
      </w:pPr>
      <w:r>
        <w:t xml:space="preserve">2. Regulatory Framework and Compliance</w:t>
      </w:r>
    </w:p>
    <w:p>
      <w:pPr>
        <w:pStyle w:val="FirstParagraph"/>
      </w:pPr>
      <w:r>
        <w:t xml:space="preserve">To practice effectively as an Accountant in Malaysia Kuala Lumpur, one must possess a deep understanding of the local regulatory environment. The primary governing body is the Malaysian Institute of Accountants (MIA), which sets ethical standards and continuing professional education requirements.</w:t>
      </w:r>
    </w:p>
    <w:bookmarkStart w:id="22" w:name="statutory-compliance"/>
    <w:p>
      <w:pPr>
        <w:pStyle w:val="Heading3"/>
      </w:pPr>
      <w:r>
        <w:t xml:space="preserve">2.1 Statutory Compliance</w:t>
      </w:r>
    </w:p>
    <w:p>
      <w:pPr>
        <w:pStyle w:val="FirstParagraph"/>
      </w:pPr>
      <w:r>
        <w:t xml:space="preserve">A core duty of any Accountant in this jurisdiction is ensuring compliance with the Companies Commission of Malaysia (SSM). This involves filing annual returns, maintaining statutory registers, and ensuring that company secretarial duties are met alongside financial reporting. Failure to adhere to these protocols can result in severe penalties for both the corporation and the individual Accountant responsible.</w:t>
      </w:r>
    </w:p>
    <w:bookmarkEnd w:id="22"/>
    <w:bookmarkStart w:id="23" w:name="taxation-authorities"/>
    <w:p>
      <w:pPr>
        <w:pStyle w:val="Heading3"/>
      </w:pPr>
      <w:r>
        <w:t xml:space="preserve">2.2 Taxation Authorities</w:t>
      </w:r>
    </w:p>
    <w:p>
      <w:pPr>
        <w:pStyle w:val="FirstParagraph"/>
      </w:pPr>
      <w:r>
        <w:t xml:space="preserve">Furthermore, interaction with the Inland Revenue Board of Malaysia (LHDN) is a daily reality. The Accountant must stay abreast of frequent changes in tax laws, including the Goods and Services Tax (GST) era transitions to the Sales and Service Tax (SST), as well as evolving personal income tax brackets. For an Accountant in Kuala Lumpur, providing accurate tax planning advice is essential for clients seeking to optimize their liabilities within the legal boundaries set by Malaysian law.</w:t>
      </w:r>
    </w:p>
    <w:bookmarkEnd w:id="23"/>
    <w:bookmarkEnd w:id="24"/>
    <w:bookmarkStart w:id="25" w:name="X6d17cbd03c4130640e5ac454836f5aab37f0c1f"/>
    <w:p>
      <w:pPr>
        <w:pStyle w:val="Heading2"/>
      </w:pPr>
      <w:r>
        <w:t xml:space="preserve">3. International Financial Reporting Standards (IFRS)</w:t>
      </w:r>
    </w:p>
    <w:p>
      <w:pPr>
        <w:pStyle w:val="FirstParagraph"/>
      </w:pPr>
      <w:r>
        <w:t xml:space="preserve">Kuala Lumpur is a gateway between East and West, necessitating that local businesses often report using International Financial Reporting Standards (IFRS). The Accountant must be proficient in applying these standards to ensure that financial statements are comparable on a global scale.</w:t>
      </w:r>
    </w:p>
    <w:p>
      <w:pPr>
        <w:pStyle w:val="BodyText"/>
      </w:pPr>
      <w:r>
        <w:t xml:space="preserve">This proficiency allows companies listed on Bursa Malaysia to attract foreign direct investment. An Accountant who can translate complex IFRS requirements into clear, actionable insights for management adds immense value. In the context of Kuala Lumpur’s real estate and banking sectors, where transactions are high-volume and high-value, this expertise is indispensable.</w:t>
      </w:r>
    </w:p>
    <w:bookmarkEnd w:id="25"/>
    <w:bookmarkStart w:id="28" w:name="technological-integration"/>
    <w:p>
      <w:pPr>
        <w:pStyle w:val="Heading2"/>
      </w:pPr>
      <w:r>
        <w:t xml:space="preserve">4. Technological Integration</w:t>
      </w:r>
    </w:p>
    <w:p>
      <w:pPr>
        <w:pStyle w:val="FirstParagraph"/>
      </w:pPr>
      <w:r>
        <w:t xml:space="preserve">The role of the Accountant is undergoing a digital transformation. In modern Malaysia Kuala Lumpur practices, reliance on manual ledgers has been replaced by cloud-based accounting software such as Xero, QuickBooks, and local platforms tailored for Malaysian payroll and tax compliance.</w:t>
      </w:r>
    </w:p>
    <w:bookmarkStart w:id="26" w:name="data-analytics"/>
    <w:p>
      <w:pPr>
        <w:pStyle w:val="Heading3"/>
      </w:pPr>
      <w:r>
        <w:t xml:space="preserve">4.1 Data Analytics</w:t>
      </w:r>
    </w:p>
    <w:p>
      <w:pPr>
        <w:pStyle w:val="FirstParagraph"/>
      </w:pPr>
      <w:r>
        <w:t xml:space="preserve">Data analytics tools allow the Accountant to process large volumes of data rapidly. By utilizing these tools, professionals can identify trends, forecast cash flows with greater accuracy, and detect anomalies that may indicate fraud. This shift moves the Accountant from a retrospective role (reporting what happened) to a prospective role (predicting what will happen).</w:t>
      </w:r>
    </w:p>
    <w:bookmarkEnd w:id="26"/>
    <w:bookmarkStart w:id="27" w:name="automation"/>
    <w:p>
      <w:pPr>
        <w:pStyle w:val="Heading3"/>
      </w:pPr>
      <w:r>
        <w:t xml:space="preserve">4.2 Automation</w:t>
      </w:r>
    </w:p>
    <w:p>
      <w:pPr>
        <w:pStyle w:val="FirstParagraph"/>
      </w:pPr>
      <w:r>
        <w:t xml:space="preserve">Automation of routine tasks such as invoicing and reconciliation frees up time for high-level analysis. For an Accountant in Kuala Lumpur, this means spending more time on strategic consultations with business owners rather than data entry, thereby enhancing the perceived value of accounting services.</w:t>
      </w:r>
    </w:p>
    <w:bookmarkEnd w:id="27"/>
    <w:bookmarkEnd w:id="28"/>
    <w:bookmarkStart w:id="29" w:name="Xf2aa9e3937a3d7884612ce872834cabdf908794"/>
    <w:p>
      <w:pPr>
        <w:pStyle w:val="Heading2"/>
      </w:pPr>
      <w:r>
        <w:t xml:space="preserve">5. Ethical Considerations and Corporate Governance</w:t>
      </w:r>
    </w:p>
    <w:p>
      <w:pPr>
        <w:pStyle w:val="FirstParagraph"/>
      </w:pPr>
      <w:r>
        <w:t xml:space="preserve">Ethics remains the cornerstone of the Accounting profession. In Malaysia Kuala Lumpur, where corporate scandals can have ripple effects on national confidence, Accountants act as gatekeepers against financial misconduct.</w:t>
      </w:r>
    </w:p>
    <w:p>
      <w:pPr>
        <w:pStyle w:val="BodyText"/>
      </w:pPr>
      <w:r>
        <w:t xml:space="preserve">The Accountant must maintain independence and objectivity. This involves resisting pressure from management to manipulate figures for short-term gains and upholding the integrity of the financial statements. Corporate governance codes in Malaysia emphasize the role of audit committees, often comprising experts who understand how an Accountant can assist boards in fulfilling their oversight responsibilities.</w:t>
      </w:r>
    </w:p>
    <w:bookmarkEnd w:id="29"/>
    <w:bookmarkStart w:id="30" w:name="Xee15cc05f045139b7d0251e0cc501fe352c52e0"/>
    <w:p>
      <w:pPr>
        <w:pStyle w:val="Heading2"/>
      </w:pPr>
      <w:r>
        <w:t xml:space="preserve">6. The Accountant as a Strategic Business Partner</w:t>
      </w:r>
    </w:p>
    <w:p>
      <w:pPr>
        <w:pStyle w:val="FirstParagraph"/>
      </w:pPr>
      <w:r>
        <w:t xml:space="preserve">Beyond compliance and reporting, the modern Accountant in Kuala Lumpur is expected to contribute to business strategy. This includes advising on mergers and acquisitions (M&amp;A), managing risk exposure, and supporting expansion plans into ASEAN markets.</w:t>
      </w:r>
    </w:p>
    <w:p>
      <w:pPr>
        <w:pStyle w:val="BodyText"/>
      </w:pPr>
      <w:r>
        <w:t xml:space="preserve">For instance, a startup founded in Mont Kiara seeking venture capital needs an Accountant who can structure equity deals and prepare due diligence packages. Similarly, a manufacturing firm in Shah Alam exporting to Singapore requires an Accountant proficient in transfer pricing regulations. Thus, the skill set of an Accountant must be adaptable and business-savvy.</w:t>
      </w:r>
    </w:p>
    <w:bookmarkEnd w:id="30"/>
    <w:bookmarkStart w:id="31" w:name="conclusion"/>
    <w:p>
      <w:pPr>
        <w:pStyle w:val="Heading2"/>
      </w:pPr>
      <w:r>
        <w:t xml:space="preserve">7. Conclusion</w:t>
      </w:r>
    </w:p>
    <w:p>
      <w:pPr>
        <w:pStyle w:val="FirstParagraph"/>
      </w:pPr>
      <w:r>
        <w:t xml:space="preserve">In conclusion, the position of the Accountant in Malaysia Kuala Lumpur is one of critical importance and growing complexity. No longer confined to back-office operations, today’s accounting professionals are integral to the strategic direction and operational stability of businesses across the capital.</w:t>
      </w:r>
    </w:p>
    <w:p>
      <w:pPr>
        <w:pStyle w:val="BodyText"/>
      </w:pPr>
      <w:r>
        <w:t xml:space="preserve">They must balance a rigorous adherence to local regulations enforced by bodies like MIA and LHDN with the adoption of international standards like IFRS. Furthermore, they must embrace technology to enhance efficiency and maintain unwavering ethical standards. As Kuala Lumpur continues to solidify its status as a premier ASEAN financial center, the demand for skilled, adaptable, and strategic Accountants will only intensify. It is imperative that aspiring and current professionals in this field commit to continuous learning to meet these evolving challenges.</w:t>
      </w:r>
    </w:p>
    <w:bookmarkEnd w:id="31"/>
    <w:bookmarkStart w:id="32" w:name="references"/>
    <w:p>
      <w:pPr>
        <w:pStyle w:val="Heading2"/>
      </w:pPr>
      <w:r>
        <w:t xml:space="preserve">8. References</w:t>
      </w:r>
    </w:p>
    <w:p>
      <w:pPr>
        <w:pStyle w:val="FirstParagraph"/>
      </w:pPr>
      <w:r>
        <w:rPr>
          <w:iCs/>
          <w:i/>
        </w:rPr>
        <w:t xml:space="preserve">Note: The following references are indicative of the types of sources utilized for this research context.</w:t>
      </w:r>
    </w:p>
    <w:p>
      <w:pPr>
        <w:numPr>
          <w:ilvl w:val="0"/>
          <w:numId w:val="1001"/>
        </w:numPr>
        <w:pStyle w:val="Compact"/>
      </w:pPr>
      <w:r>
        <w:t xml:space="preserve">Malaysian Institute of Accountants (MIA). "Code of Professional Ethics and Conduct."</w:t>
      </w:r>
    </w:p>
    <w:p>
      <w:pPr>
        <w:numPr>
          <w:ilvl w:val="0"/>
          <w:numId w:val="1001"/>
        </w:numPr>
        <w:pStyle w:val="Compact"/>
      </w:pPr>
      <w:r>
        <w:t xml:space="preserve">Inland Revenue Board Malaysia (LHDN). "Guidelines on Individual Taxation and Corporate Tax Rates."</w:t>
      </w:r>
    </w:p>
    <w:p>
      <w:pPr>
        <w:numPr>
          <w:ilvl w:val="0"/>
          <w:numId w:val="1001"/>
        </w:numPr>
        <w:pStyle w:val="Compact"/>
      </w:pPr>
      <w:r>
        <w:t xml:space="preserve">Suruhanjaya Syarikat Malaysia (SSM). "Company Act 2016 Compliance Guidelines."</w:t>
      </w:r>
    </w:p>
    <w:p>
      <w:pPr>
        <w:numPr>
          <w:ilvl w:val="0"/>
          <w:numId w:val="1001"/>
        </w:numPr>
        <w:pStyle w:val="Compact"/>
      </w:pPr>
      <w:r>
        <w:t xml:space="preserve">Federation of Public Accountants, Malaysia. "Annual Report on the Accounting Industry in Kuala Lumpur."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Malaysia Kuala Lumpur: Navigating Modern Financial Landscapes</dc:title>
  <dc:creator/>
  <dc:language>en</dc:language>
  <cp:keywords/>
  <dcterms:created xsi:type="dcterms:W3CDTF">2026-07-29T18:06:06Z</dcterms:created>
  <dcterms:modified xsi:type="dcterms:W3CDTF">2026-07-29T18:06:06Z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