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Tashkent's</w:t>
      </w:r>
      <w:r>
        <w:t xml:space="preserve"> </w:t>
      </w:r>
      <w:r>
        <w:t xml:space="preserve">Economic</w:t>
      </w:r>
      <w:r>
        <w:t xml:space="preserve"> </w:t>
      </w:r>
      <w:r>
        <w:t xml:space="preserve">Future</w:t>
      </w:r>
    </w:p>
    <w:bookmarkStart w:id="30" w:name="Xa43f19c51f2129ff81b38c66bc1a637a991a169"/>
    <w:p>
      <w:pPr>
        <w:pStyle w:val="Heading1"/>
      </w:pPr>
      <w:r>
        <w:t xml:space="preserve">The Evolving Role of Accountants in Uzbekistan: A Strategic Analysis for Tashkent's Economic Future</w:t>
      </w:r>
    </w:p>
    <w:p>
      <w:pPr>
        <w:pStyle w:val="FirstParagraph"/>
      </w:pPr>
      <w:r>
        <w:rPr>
          <w:bCs/>
          <w:b/>
        </w:rPr>
        <w:t xml:space="preserve">Abstract:</w:t>
      </w:r>
    </w:p>
    <w:p>
      <w:pPr>
        <w:pStyle w:val="BodyText"/>
      </w:pPr>
      <w:r>
        <w:t xml:space="preserve">This research paper examines the critical transformation of the accounting profession within Uzbekistan, with a specific focus on its capital city, Tashkent. As Uzbekistan accelerates its economic reforms and integrates deeper into the global market, the demand for high-quality financial reporting and strategic advisory services has never been higher. This study analyzes the impact of International Financial Reporting Standards (IFRS) adoption in</w:t>
      </w:r>
      <w:r>
        <w:t xml:space="preserve"> </w:t>
      </w:r>
      <w:r>
        <w:rPr>
          <w:bCs/>
          <w:b/>
        </w:rPr>
        <w:t xml:space="preserve">Tashkent</w:t>
      </w:r>
      <w:r>
        <w:t xml:space="preserve">, the technological disruption facing traditional</w:t>
      </w:r>
      <w:r>
        <w:t xml:space="preserve"> </w:t>
      </w:r>
      <w:r>
        <w:rPr>
          <w:bCs/>
          <w:b/>
        </w:rPr>
        <w:t xml:space="preserve">Accountant</w:t>
      </w:r>
      <w:r>
        <w:t xml:space="preserve"> </w:t>
      </w:r>
      <w:r>
        <w:t xml:space="preserve">roles, and the regulatory changes mandated by recent government decrees. The findings suggest that while challenges regarding digital literacy and skill gaps exist, Tashkent is poised to become a regional hub for financial expertise if educational institutions and professional bodies collaborate effectively.</w:t>
      </w:r>
    </w:p>
    <w:p>
      <w:pPr>
        <w:pStyle w:val="BodyText"/>
      </w:pPr>
      <w:r>
        <w:rPr>
          <w:bCs/>
          <w:b/>
        </w:rPr>
        <w:t xml:space="preserve">Keywords:</w:t>
      </w:r>
      <w:r>
        <w:t xml:space="preserve"> </w:t>
      </w:r>
      <w:r>
        <w:t xml:space="preserve">Accounting Standards, Tashkent Economy, IFRS Implementation, Digital Transformation in Finance Uzbekistan.</w:t>
      </w:r>
    </w:p>
    <w:bookmarkStart w:id="20" w:name="i.-introduction"/>
    <w:p>
      <w:pPr>
        <w:pStyle w:val="Heading2"/>
      </w:pPr>
      <w:r>
        <w:t xml:space="preserve">I. Introduction</w:t>
      </w:r>
    </w:p>
    <w:p>
      <w:pPr>
        <w:pStyle w:val="FirstParagraph"/>
      </w:pPr>
      <w:r>
        <w:t xml:space="preserve">In recent years, the Republic of Uzbekistan has embarked on an ambitious path of economic liberalization and structural reform. At the heart of this transformation is the need for transparency, accountability, and international integration. Nowhere is this shift more visible than in Tashkent, the capital city that serves as the primary engine of national growth. As foreign direct investment (FDI) increases and local enterprises seek to expand globally, the role of financial professionals has transcended traditional bookkeeping to become a cornerstone of strategic business management.</w:t>
      </w:r>
    </w:p>
    <w:p>
      <w:pPr>
        <w:pStyle w:val="BodyText"/>
      </w:pPr>
      <w:r>
        <w:t xml:space="preserve">The profession of an</w:t>
      </w:r>
      <w:r>
        <w:t xml:space="preserve"> </w:t>
      </w:r>
      <w:r>
        <w:rPr>
          <w:bCs/>
          <w:b/>
        </w:rPr>
        <w:t xml:space="preserve">Accountant</w:t>
      </w:r>
      <w:r>
        <w:t xml:space="preserve"> </w:t>
      </w:r>
      <w:r>
        <w:t xml:space="preserve">is no longer viewed merely as a compliance function but as a vital strategic partner. For businesses operating in Tashkent, accurate financial data is the lifeline that connects local operations with international stakeholders. This paper explores the current landscape of the accounting industry in Uzbekistan, highlighting the unique opportunities and challenges present in Tashkent’s rapidly modernizing economic ecosystem.</w:t>
      </w:r>
    </w:p>
    <w:bookmarkEnd w:id="20"/>
    <w:bookmarkStart w:id="21" w:name="X8b55bcb99f242ea08dab0f265603a90ab33c61d"/>
    <w:p>
      <w:pPr>
        <w:pStyle w:val="Heading2"/>
      </w:pPr>
      <w:r>
        <w:t xml:space="preserve">II. The Regulatory Landscape: Adoption of International Standards</w:t>
      </w:r>
    </w:p>
    <w:p>
      <w:pPr>
        <w:pStyle w:val="FirstParagraph"/>
      </w:pPr>
      <w:r>
        <w:t xml:space="preserve">A pivotal factor influencing the accounting profession in Uzbekistan is the mandatory adoption of International Financial Reporting Standards (IFRS). Historically, local companies relied on national accounting standards that were often less transparent and difficult for foreign investors to interpret. However, under recent government directives, large enterprises and those seeking international financing are required to prepare financial statements in accordance with IFRS.</w:t>
      </w:r>
    </w:p>
    <w:p>
      <w:pPr>
        <w:pStyle w:val="BodyText"/>
      </w:pPr>
      <w:r>
        <w:t xml:space="preserve">In Tashkent, this regulatory shift has created a surge in demand for skilled professionals who possess dual expertise: deep knowledge of local tax laws and proficiency in global accounting frameworks. For an</w:t>
      </w:r>
      <w:r>
        <w:t xml:space="preserve"> </w:t>
      </w:r>
      <w:r>
        <w:rPr>
          <w:bCs/>
          <w:b/>
        </w:rPr>
        <w:t xml:space="preserve">Accountant</w:t>
      </w:r>
      <w:r>
        <w:t xml:space="preserve"> </w:t>
      </w:r>
      <w:r>
        <w:t xml:space="preserve">working in this region, the ability to bridge the gap between Soviet-era accounting legacies and modern international standards is a critical competitive advantage. The transition has not been without friction; many older professionals have had to undergo significant retraining, while new graduates are entering the workforce with curricula increasingly aligned with global benchmarks.</w:t>
      </w:r>
    </w:p>
    <w:bookmarkEnd w:id="21"/>
    <w:bookmarkStart w:id="24" w:name="Xb6d8a01a6e5b209564bcfa6dd0d2f55d38d8741"/>
    <w:p>
      <w:pPr>
        <w:pStyle w:val="Heading2"/>
      </w:pPr>
      <w:r>
        <w:t xml:space="preserve">III. Digital Transformation and Automation in Tashkent</w:t>
      </w:r>
    </w:p>
    <w:p>
      <w:pPr>
        <w:pStyle w:val="FirstParagraph"/>
      </w:pPr>
      <w:r>
        <w:t xml:space="preserve">The fourth industrial revolution has reached Uzbekistan’s capital. The proliferation of fintech solutions, cloud-based accounting software, and artificial intelligence tools is fundamentally altering the daily operations of an</w:t>
      </w:r>
      <w:r>
        <w:t xml:space="preserve"> </w:t>
      </w:r>
      <w:r>
        <w:rPr>
          <w:bCs/>
          <w:b/>
        </w:rPr>
        <w:t xml:space="preserve">Accountant</w:t>
      </w:r>
      <w:r>
        <w:t xml:space="preserve">. In Tashkent, digitalization is being driven by both private sector innovation and government initiatives aimed at creating a "digital economy."</w:t>
      </w:r>
    </w:p>
    <w:bookmarkStart w:id="22" w:name="a.-automation-of-routine-tasks"/>
    <w:p>
      <w:pPr>
        <w:pStyle w:val="Heading3"/>
      </w:pPr>
      <w:r>
        <w:t xml:space="preserve">A. Automation of Routine Tasks</w:t>
      </w:r>
    </w:p>
    <w:p>
      <w:pPr>
        <w:pStyle w:val="FirstParagraph"/>
      </w:pPr>
      <w:r>
        <w:t xml:space="preserve">Gone are the days when accountants spent the majority of their time manually entering data into spreadsheets. In modern Tashkent firms, automation handles data entry, reconciliation, and basic reporting. This shift allows accountants to focus on higher-value activities such as financial analysis, risk management, and strategic planning.</w:t>
      </w:r>
    </w:p>
    <w:bookmarkEnd w:id="22"/>
    <w:bookmarkStart w:id="23" w:name="b.-the-skill-gap-challenge"/>
    <w:p>
      <w:pPr>
        <w:pStyle w:val="Heading3"/>
      </w:pPr>
      <w:r>
        <w:t xml:space="preserve">B. The Skill Gap Challenge</w:t>
      </w:r>
    </w:p>
    <w:p>
      <w:pPr>
        <w:pStyle w:val="FirstParagraph"/>
      </w:pPr>
      <w:r>
        <w:t xml:space="preserve">Despite the rapid adoption of technology, a significant skill gap remains. Many traditional accounting firms in Tashkent are struggling to find personnel who can leverage advanced data analytics tools. There is an urgent need for continuous professional development (CPD) programs that focus not just on tax law changes, but also on data literacy, cybersecurity awareness, and software proficiency. Educational institutions in Uzbekistan are beginning to respond by integrating IT skills into their accounting degrees, but the pace of change in the industry often outstrips the curriculum updates.</w:t>
      </w:r>
    </w:p>
    <w:bookmarkEnd w:id="23"/>
    <w:bookmarkEnd w:id="24"/>
    <w:bookmarkStart w:id="25" w:name="Xab0a98131347f1f4d80846e01cbd49e7c40b194"/>
    <w:p>
      <w:pPr>
        <w:pStyle w:val="Heading2"/>
      </w:pPr>
      <w:r>
        <w:t xml:space="preserve">IV. The Role of Accountants as Strategic Advisors</w:t>
      </w:r>
    </w:p>
    <w:p>
      <w:pPr>
        <w:pStyle w:val="FirstParagraph"/>
      </w:pPr>
      <w:r>
        <w:t xml:space="preserve">In Tashkent’s competitive business environment, an</w:t>
      </w:r>
      <w:r>
        <w:t xml:space="preserve"> </w:t>
      </w:r>
      <w:r>
        <w:rPr>
          <w:bCs/>
          <w:b/>
        </w:rPr>
        <w:t xml:space="preserve">Accountant</w:t>
      </w:r>
      <w:r>
        <w:t xml:space="preserve"> </w:t>
      </w:r>
      <w:r>
        <w:t xml:space="preserve">is increasingly expected to act as a strategic advisor rather than a mere number-cruncher. Companies are looking for financial leaders who can interpret market trends, optimize tax structures within legal frameworks, and provide insights that drive profitability.</w:t>
      </w:r>
    </w:p>
    <w:p>
      <w:pPr>
        <w:pStyle w:val="BodyText"/>
      </w:pPr>
      <w:r>
        <w:t xml:space="preserve">This shift is particularly evident in the startup ecosystem flourishing in Tashkent. Young entrepreneurs require guidance not only on compliance but also on fundraising, valuation, and long-term financial sustainability. Accountants who can communicate complex financial data in a way that supports decision-making are highly valued by both local SMEs and multinational corporations establishing regional headquarters in the city.</w:t>
      </w:r>
    </w:p>
    <w:bookmarkEnd w:id="25"/>
    <w:bookmarkStart w:id="26" w:name="v.-challenges-facing-the-profession"/>
    <w:p>
      <w:pPr>
        <w:pStyle w:val="Heading2"/>
      </w:pPr>
      <w:r>
        <w:t xml:space="preserve">V. Challenges Facing the Profession</w:t>
      </w:r>
    </w:p>
    <w:p>
      <w:pPr>
        <w:pStyle w:val="FirstParagraph"/>
      </w:pPr>
      <w:r>
        <w:t xml:space="preserve">While the prospects for accountants in Uzbekistan are promising, several challenges persist:</w:t>
      </w:r>
    </w:p>
    <w:p>
      <w:pPr>
        <w:numPr>
          <w:ilvl w:val="0"/>
          <w:numId w:val="1001"/>
        </w:numPr>
        <w:pStyle w:val="Compact"/>
      </w:pPr>
      <w:r>
        <w:rPr>
          <w:bCs/>
          <w:b/>
        </w:rPr>
        <w:t xml:space="preserve">Ethical Standards and Corruption:</w:t>
      </w:r>
      <w:r>
        <w:t xml:space="preserve"> </w:t>
      </w:r>
      <w:r>
        <w:t xml:space="preserve">Although improvements have been made, maintaining high ethical standards remains a challenge. Ensuring transparency and combating financial fraud requires robust internal controls and a strong professional culture.</w:t>
      </w:r>
    </w:p>
    <w:p>
      <w:pPr>
        <w:numPr>
          <w:ilvl w:val="0"/>
          <w:numId w:val="1001"/>
        </w:numPr>
        <w:pStyle w:val="Compact"/>
      </w:pPr>
      <w:r>
        <w:rPr>
          <w:bCs/>
          <w:b/>
        </w:rPr>
        <w:t xml:space="preserve">Talent Retention:</w:t>
      </w:r>
      <w:r>
        <w:t xml:space="preserve"> </w:t>
      </w:r>
      <w:r>
        <w:t xml:space="preserve">With the growing demand for accounting services, there is intense competition for top talent. Firms in Tashkent must offer competitive salaries, career progression paths, and modern work environments to retain skilled professionals who might otherwise seek opportunities abroad.</w:t>
      </w:r>
    </w:p>
    <w:p>
      <w:pPr>
        <w:numPr>
          <w:ilvl w:val="0"/>
          <w:numId w:val="1001"/>
        </w:numPr>
        <w:pStyle w:val="Compact"/>
      </w:pPr>
      <w:r>
        <w:rPr>
          <w:bCs/>
          <w:b/>
        </w:rPr>
        <w:t xml:space="preserve">Regulatory Complexity:</w:t>
      </w:r>
      <w:r>
        <w:t xml:space="preserve"> </w:t>
      </w:r>
      <w:r>
        <w:t xml:space="preserve">The regulatory environment in Uzbekistan is dynamic. Frequent changes in tax codes and reporting requirements demand that accountants remain vigilant and continuously updated. This constant state of flux can lead to compliance risks if not managed properly.</w:t>
      </w:r>
    </w:p>
    <w:bookmarkEnd w:id="26"/>
    <w:bookmarkStart w:id="27" w:name="vi.-future-outlook-and-recommendations"/>
    <w:p>
      <w:pPr>
        <w:pStyle w:val="Heading2"/>
      </w:pPr>
      <w:r>
        <w:t xml:space="preserve">VI. Future Outlook and Recommendations</w:t>
      </w:r>
    </w:p>
    <w:p>
      <w:pPr>
        <w:pStyle w:val="FirstParagraph"/>
      </w:pPr>
      <w:r>
        <w:t xml:space="preserve">The future of accounting in Tashkent is bright, contingent upon addressing the identified challenges through collaborative efforts between government bodies, educational institutions, and professional firms. To sustain growth in this sector, the following recommendations are proposed:</w:t>
      </w:r>
    </w:p>
    <w:p>
      <w:pPr>
        <w:numPr>
          <w:ilvl w:val="0"/>
          <w:numId w:val="1002"/>
        </w:numPr>
        <w:pStyle w:val="Compact"/>
      </w:pPr>
      <w:r>
        <w:rPr>
          <w:bCs/>
          <w:b/>
        </w:rPr>
        <w:t xml:space="preserve">Enhanced Education Partnerships:</w:t>
      </w:r>
      <w:r>
        <w:t xml:space="preserve"> </w:t>
      </w:r>
      <w:r>
        <w:t xml:space="preserve">Universities should partner with international accounting bodies (such as ACCA or CPA Australia) to offer globally recognized certifications alongside local degrees.</w:t>
      </w:r>
    </w:p>
    <w:p>
      <w:pPr>
        <w:numPr>
          <w:ilvl w:val="0"/>
          <w:numId w:val="1002"/>
        </w:numPr>
        <w:pStyle w:val="Compact"/>
      </w:pPr>
      <w:r>
        <w:rPr>
          <w:bCs/>
          <w:b/>
        </w:rPr>
        <w:t xml:space="preserve">Lifelong Learning Initiatives:</w:t>
      </w:r>
      <w:r>
        <w:t xml:space="preserve"> </w:t>
      </w:r>
      <w:r>
        <w:t xml:space="preserve">Professional associations must promote continuous learning, offering workshops on emerging technologies like blockchain in auditing and AI-driven financial forecasting.</w:t>
      </w:r>
    </w:p>
    <w:p>
      <w:pPr>
        <w:numPr>
          <w:ilvl w:val="0"/>
          <w:numId w:val="1002"/>
        </w:numPr>
        <w:pStyle w:val="Compact"/>
      </w:pPr>
      <w:r>
        <w:rPr>
          <w:bCs/>
          <w:b/>
        </w:rPr>
        <w:t xml:space="preserve">Digital Infrastructure Investment:</w:t>
      </w:r>
      <w:r>
        <w:t xml:space="preserve"> </w:t>
      </w:r>
      <w:r>
        <w:t xml:space="preserve">The government should continue to support the digitalization of public services, including e-invoicing and digital tax filings, which will further streamline the work of accountants.</w:t>
      </w:r>
    </w:p>
    <w:bookmarkEnd w:id="27"/>
    <w:bookmarkStart w:id="28" w:name="vii.-conclusion"/>
    <w:p>
      <w:pPr>
        <w:pStyle w:val="Heading2"/>
      </w:pPr>
      <w:r>
        <w:t xml:space="preserve">VII. Conclusion</w:t>
      </w:r>
    </w:p>
    <w:p>
      <w:pPr>
        <w:pStyle w:val="FirstParagraph"/>
      </w:pPr>
      <w:r>
        <w:t xml:space="preserve">The profession of an</w:t>
      </w:r>
      <w:r>
        <w:t xml:space="preserve"> </w:t>
      </w:r>
      <w:r>
        <w:rPr>
          <w:bCs/>
          <w:b/>
        </w:rPr>
        <w:t xml:space="preserve">Accountant</w:t>
      </w:r>
      <w:r>
        <w:t xml:space="preserve"> </w:t>
      </w:r>
      <w:r>
        <w:t xml:space="preserve">in Uzbekistan is undergoing a profound transformation. As Tashkent emerges as a key economic player in Central Asia, the demand for skilled, tech-savvy, and ethically grounded financial professionals will continue to rise. The adoption of international standards and the embrace of digital technologies are not just trends but necessities for survival and growth in this new era.</w:t>
      </w:r>
    </w:p>
    <w:p>
      <w:pPr>
        <w:pStyle w:val="BodyText"/>
      </w:pPr>
      <w:r>
        <w:t xml:space="preserve">For stakeholders involved in Tashkent’s economic development—whether they are policymakers, business leaders, or educators—it is clear that investing in the accounting profession is an investment in the country’s future. By bridging skill gaps, enforcing ethical standards, and fostering innovation, Uzbekistan can cultivate a robust financial sector that supports sustainable economic growth and enhances its standing on the global stage.</w:t>
      </w:r>
    </w:p>
    <w:bookmarkEnd w:id="28"/>
    <w:bookmarkStart w:id="29" w:name="viii.-references"/>
    <w:p>
      <w:pPr>
        <w:pStyle w:val="Heading2"/>
      </w:pPr>
      <w:r>
        <w:t xml:space="preserve">VIII. References</w:t>
      </w:r>
    </w:p>
    <w:p>
      <w:pPr>
        <w:pStyle w:val="FirstParagraph"/>
      </w:pPr>
      <w:r>
        <w:rPr>
          <w:iCs/>
          <w:i/>
        </w:rPr>
        <w:t xml:space="preserve">(Note: For the purpose of this simulated research paper, references are illustrative.)</w:t>
      </w:r>
    </w:p>
    <w:p>
      <w:pPr>
        <w:numPr>
          <w:ilvl w:val="0"/>
          <w:numId w:val="1003"/>
        </w:numPr>
        <w:pStyle w:val="Compact"/>
      </w:pPr>
      <w:r>
        <w:t xml:space="preserve">Central Bank of Uzbekistan. (2023). *Annual Report on Financial Stability and Banking Sector Development.*</w:t>
      </w:r>
    </w:p>
    <w:p>
      <w:pPr>
        <w:numPr>
          <w:ilvl w:val="0"/>
          <w:numId w:val="1003"/>
        </w:numPr>
        <w:pStyle w:val="Compact"/>
      </w:pPr>
      <w:r>
        <w:t xml:space="preserve">Government of the Republic of Uzbekistan. (2019-2024). *Decrees on the Implementation of International Financial Reporting Standards.*</w:t>
      </w:r>
    </w:p>
    <w:p>
      <w:pPr>
        <w:numPr>
          <w:ilvl w:val="0"/>
          <w:numId w:val="1003"/>
        </w:numPr>
        <w:pStyle w:val="Compact"/>
      </w:pPr>
      <w:r>
        <w:t xml:space="preserve">International Federation of Accountants (IFAC). (2022). *Global Accounting Education and Skills Report.*</w:t>
      </w:r>
    </w:p>
    <w:p>
      <w:pPr>
        <w:numPr>
          <w:ilvl w:val="0"/>
          <w:numId w:val="1003"/>
        </w:numPr>
        <w:pStyle w:val="Compact"/>
      </w:pPr>
      <w:r>
        <w:t xml:space="preserve">Tashkent City Statistics Committee. (2023). *Economic Activity Indices and SME Growth Rates in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Uzbekistan: A Strategic Analysis for Tashkent's Economic Future</dc:title>
  <dc:creator/>
  <cp:keywords/>
  <dcterms:created xsi:type="dcterms:W3CDTF">2026-07-29T15:37:40Z</dcterms:created>
  <dcterms:modified xsi:type="dcterms:W3CDTF">2026-07-29T15:37:40Z</dcterms:modified>
</cp:coreProperties>
</file>

<file path=docProps/custom.xml><?xml version="1.0" encoding="utf-8"?>
<Properties xmlns="http://schemas.openxmlformats.org/officeDocument/2006/custom-properties" xmlns:vt="http://schemas.openxmlformats.org/officeDocument/2006/docPropsVTypes"/>
</file>