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Aligning</w:t>
      </w:r>
      <w:r>
        <w:t xml:space="preserve"> </w:t>
      </w:r>
      <w:r>
        <w:t xml:space="preserve">Human</w:t>
      </w:r>
      <w:r>
        <w:t xml:space="preserve"> </w:t>
      </w:r>
      <w:r>
        <w:t xml:space="preserve">Capital</w:t>
      </w:r>
      <w:r>
        <w:t xml:space="preserve"> </w:t>
      </w:r>
      <w:r>
        <w:t xml:space="preserve">with</w:t>
      </w:r>
      <w:r>
        <w:t xml:space="preserve"> </w:t>
      </w:r>
      <w:r>
        <w:t xml:space="preserve">Vision</w:t>
      </w:r>
      <w:r>
        <w:t xml:space="preserve"> </w:t>
      </w:r>
      <w:r>
        <w:t xml:space="preserve">2030</w:t>
      </w:r>
    </w:p>
    <w:bookmarkStart w:id="27" w:name="X279b51792dfa8076dee62e962d0e9c918dc1f7f"/>
    <w:p>
      <w:pPr>
        <w:pStyle w:val="Heading1"/>
      </w:pPr>
      <w:r>
        <w:t xml:space="preserve">A Strategic Analysis of Aerospace Engineering in Saudi Arabia:</w:t>
      </w:r>
      <w:r>
        <w:br/>
      </w:r>
      <w:r>
        <w:t xml:space="preserve">Anchoring Vision 2030 through Technological Sovereignty and Human Capital Development in Riyadh</w:t>
      </w:r>
    </w:p>
    <w:p>
      <w:pPr>
        <w:pStyle w:val="FirstParagraph"/>
      </w:pPr>
      <w:r>
        <w:rPr>
          <w:iCs/>
          <w:i/>
          <w:bCs/>
          <w:b/>
        </w:rPr>
        <w:t xml:space="preserve">Abstract</w:t>
      </w:r>
      <w:r>
        <w:br/>
      </w:r>
      <w:r>
        <w:br/>
      </w:r>
      <w:r>
        <w:t xml:space="preserve">This research paper explores the critical role of the Aerospace Engineer within the rapidly evolving industrial landscape of Saudi Arabia. As the Kingdom transitions from an oil-dependent economy to a diversified technological hub, the city of Riyadh has emerged as a central command center for defense, aviation, and space initiatives. This document analyzes how specialized Aerospace Engineer professionals are instrumental in executing major national projects such as the Saudi Space Commission’s ambitions and local manufacturing ventures like SAGCOSCO. The paper argues that cultivating high-level engineering talent in Riyadh is not merely an economic necessity but a strategic imperative for national security and regional leadership in the Middle East.</w:t>
      </w:r>
    </w:p>
    <w:bookmarkStart w:id="20" w:name="introduction"/>
    <w:p>
      <w:pPr>
        <w:pStyle w:val="Heading2"/>
      </w:pPr>
      <w:r>
        <w:t xml:space="preserve">1. Introduction</w:t>
      </w:r>
    </w:p>
    <w:p>
      <w:pPr>
        <w:pStyle w:val="FirstParagraph"/>
      </w:pPr>
      <w:r>
        <w:t xml:space="preserve">The global aerospace industry stands on the precipice of a new era defined by digitalization, sustainability, and geopolitical realignment. For nations seeking to assert influence in this sector, technical sovereignty is paramount. Saudi Arabia has recognized this reality through its comprehensive Vision 2030 framework, which aims to diversify the national economy and reduce reliance on hydrocarbon revenues. Central to this transformation is the establishment of a robust domestic aerospace manufacturing and maintenance ecosystem. In this context, the role of the</w:t>
      </w:r>
      <w:r>
        <w:t xml:space="preserve"> </w:t>
      </w:r>
      <w:r>
        <w:rPr>
          <w:bCs/>
          <w:b/>
        </w:rPr>
        <w:t xml:space="preserve">Aerospace Engineer</w:t>
      </w:r>
      <w:r>
        <w:t xml:space="preserve"> </w:t>
      </w:r>
      <w:r>
        <w:t xml:space="preserve">transcends traditional technical duties; these professionals become architects of national capability.</w:t>
      </w:r>
    </w:p>
    <w:p>
      <w:pPr>
        <w:pStyle w:val="BodyText"/>
      </w:pPr>
      <w:r>
        <w:t xml:space="preserve">Riyadh, as the capital and economic heart of Saudi Arabia, is uniquely positioned to host this industrial revolution. It houses key governmental bodies, including the Civil Aviation Authority (GACA) and serves as the operational base for numerous defense contractors and technology firms. This paper investigates how integrating</w:t>
      </w:r>
      <w:r>
        <w:t xml:space="preserve"> </w:t>
      </w:r>
      <w:r>
        <w:rPr>
          <w:bCs/>
          <w:b/>
        </w:rPr>
        <w:t xml:space="preserve">Aerospace Engineer</w:t>
      </w:r>
      <w:r>
        <w:t xml:space="preserve"> </w:t>
      </w:r>
      <w:r>
        <w:t xml:space="preserve">expertise into Riyadh’s industrial strategy can accelerate progress toward Vision 2030 goals, fostering innovation while ensuring regulatory compliance and international competitiveness.</w:t>
      </w:r>
    </w:p>
    <w:bookmarkEnd w:id="20"/>
    <w:bookmarkStart w:id="21" w:name="X80d380f7a3ac94885d96a7c2fc0f3c7bddc6116"/>
    <w:p>
      <w:pPr>
        <w:pStyle w:val="Heading2"/>
      </w:pPr>
      <w:r>
        <w:t xml:space="preserve">2. The Strategic Context: Vision 2030 and Defense Localization</w:t>
      </w:r>
    </w:p>
    <w:p>
      <w:pPr>
        <w:pStyle w:val="FirstParagraph"/>
      </w:pPr>
      <w:r>
        <w:t xml:space="preserve">Vision 2030 explicitly targets the localization of defense manufacturing within Saudi Arabia. The Kingdom aims to localize over 50% of its defense spending by establishing a fully integrated industrial base capable of designing, producing, and maintaining complex aerospace systems. This ambitious goal requires more than capital investment; it demands deep technical expertise.</w:t>
      </w:r>
    </w:p>
    <w:p>
      <w:pPr>
        <w:pStyle w:val="BodyText"/>
      </w:pPr>
      <w:r>
        <w:t xml:space="preserve">The</w:t>
      </w:r>
      <w:r>
        <w:t xml:space="preserve"> </w:t>
      </w:r>
      <w:r>
        <w:rPr>
          <w:bCs/>
          <w:b/>
        </w:rPr>
        <w:t xml:space="preserve">Aerospace Engineer</w:t>
      </w:r>
      <w:r>
        <w:t xml:space="preserve"> </w:t>
      </w:r>
      <w:r>
        <w:t xml:space="preserve">is the cornerstone of this localization effort. These specialists are responsible for adapting global technologies to local operational environments, ensuring that maintenance, repair, and overhaul (MRO) activities meet rigorous international standards such as those set by the Federal Aviation Administration (FAA) and the European Union Aviation Safety Agency (EASA). In Riyadh, where multinational corporations collaborate with state-owned entities like Saudi Arabian Airlines Engineering &amp; Maintenance Company (SAAEMC),</w:t>
      </w:r>
      <w:r>
        <w:t xml:space="preserve"> </w:t>
      </w:r>
      <w:r>
        <w:rPr>
          <w:bCs/>
          <w:b/>
        </w:rPr>
        <w:t xml:space="preserve">Aerospace Engineer</w:t>
      </w:r>
      <w:r>
        <w:t xml:space="preserve"> </w:t>
      </w:r>
      <w:r>
        <w:t xml:space="preserve">professionals facilitate technology transfer, ensuring that knowledge remains within the Kingdom.</w:t>
      </w:r>
    </w:p>
    <w:bookmarkEnd w:id="21"/>
    <w:bookmarkStart w:id="22" w:name="Xf18a5375b95d0fa5002600d34fc9638c3442c65"/>
    <w:p>
      <w:pPr>
        <w:pStyle w:val="Heading2"/>
      </w:pPr>
      <w:r>
        <w:t xml:space="preserve">3. The Role of Riyadh as a Technological Hub</w:t>
      </w:r>
    </w:p>
    <w:p>
      <w:pPr>
        <w:pStyle w:val="FirstParagraph"/>
      </w:pPr>
      <w:r>
        <w:t xml:space="preserve">Riyadh is not merely a geographical location but a strategic nexus for aerospace innovation in the Middle East. The city hosts several critical infrastructure projects, including the King Abdulaziz City for Science and Technology (KACST), which plays a pivotal role in space research and satellite development. Furthermore, Riyadh is home to numerous subsidiaries of global aerospace giants such as Boeing, Airbus, and Leonardo S.p.A., all of which have established significant operations in the Kingdom.</w:t>
      </w:r>
    </w:p>
    <w:p>
      <w:pPr>
        <w:pStyle w:val="BodyText"/>
      </w:pPr>
      <w:r>
        <w:t xml:space="preserve">The concentration of these entities in</w:t>
      </w:r>
      <w:r>
        <w:t xml:space="preserve"> </w:t>
      </w:r>
      <w:r>
        <w:rPr>
          <w:bCs/>
          <w:b/>
        </w:rPr>
        <w:t xml:space="preserve">Saudi Arabia Riyadh</w:t>
      </w:r>
      <w:r>
        <w:t xml:space="preserve"> </w:t>
      </w:r>
      <w:r>
        <w:t xml:space="preserve">creates a unique ecosystem for collaboration. Here,</w:t>
      </w:r>
      <w:r>
        <w:t xml:space="preserve"> </w:t>
      </w:r>
      <w:r>
        <w:rPr>
          <w:bCs/>
          <w:b/>
        </w:rPr>
        <w:t xml:space="preserve">Aerospace Engineer</w:t>
      </w:r>
      <w:r>
        <w:t xml:space="preserve"> </w:t>
      </w:r>
      <w:r>
        <w:t xml:space="preserve">professionals work at the intersection of theory and practice. They engage in joint ventures that involve everything from commercial aircraft MRO to unmanned aerial vehicle (UAV) development. The urban infrastructure of Riyadh supports this growth through specialized industrial zones like the Riyadh Air Park, which provides state-of-the-art facilities for testing and assembly.</w:t>
      </w:r>
    </w:p>
    <w:p>
      <w:pPr>
        <w:pStyle w:val="BodyText"/>
      </w:pPr>
      <w:r>
        <w:t xml:space="preserve">Moreover, the city’s proximity to key international air routes and its growing status as a diplomatic capital enhance its appeal as a headquarters for aerospace logistics and supply chain management. For an</w:t>
      </w:r>
      <w:r>
        <w:t xml:space="preserve"> </w:t>
      </w:r>
      <w:r>
        <w:rPr>
          <w:bCs/>
          <w:b/>
        </w:rPr>
        <w:t xml:space="preserve">Aerospace Engineer</w:t>
      </w:r>
      <w:r>
        <w:t xml:space="preserve">, working in Riyadh offers access to cutting-edge projects that may not yet be available elsewhere in the region, such as the development of indigenous satellite constellations under the Saudi Space Agency.</w:t>
      </w:r>
    </w:p>
    <w:bookmarkEnd w:id="22"/>
    <w:bookmarkStart w:id="23" w:name="Xf0b68f073cf25bf254e0b71f6e9503a21807f53"/>
    <w:p>
      <w:pPr>
        <w:pStyle w:val="Heading2"/>
      </w:pPr>
      <w:r>
        <w:t xml:space="preserve">4. Educational Requirements and Human Capital Development</w:t>
      </w:r>
    </w:p>
    <w:p>
      <w:pPr>
        <w:pStyle w:val="FirstParagraph"/>
      </w:pPr>
      <w:r>
        <w:t xml:space="preserve">To sustain this growth, there is a pressing need for a specialized workforce. The demand for qualified</w:t>
      </w:r>
      <w:r>
        <w:t xml:space="preserve"> </w:t>
      </w:r>
      <w:r>
        <w:rPr>
          <w:bCs/>
          <w:b/>
        </w:rPr>
        <w:t xml:space="preserve">Aerospace Engineer</w:t>
      </w:r>
      <w:r>
        <w:t xml:space="preserve"> </w:t>
      </w:r>
      <w:r>
        <w:t xml:space="preserve">professionals in</w:t>
      </w:r>
      <w:r>
        <w:t xml:space="preserve"> </w:t>
      </w:r>
      <w:r>
        <w:rPr>
          <w:bCs/>
          <w:b/>
        </w:rPr>
        <w:t xml:space="preserve">Saudi Arabia Riyadh</w:t>
      </w:r>
      <w:r>
        <w:t xml:space="preserve"> </w:t>
      </w:r>
      <w:r>
        <w:t xml:space="preserve">is outpacing the current supply of local talent. Consequently, educational institutions across the Kingdom are adapting their curricula to meet industry needs. King Saud University and King Abdullah University of Science and Technology (KAUST) have introduced advanced programs focusing on aerodynamics, propulsion systems, avionics, and materials science.</w:t>
      </w:r>
    </w:p>
    <w:p>
      <w:pPr>
        <w:pStyle w:val="BodyText"/>
      </w:pPr>
      <w:r>
        <w:t xml:space="preserve">However, academic education alone is insufficient. There is a critical need for experiential learning partnerships between universities and industry leaders in Riyadh. Internship programs, co-op models, and research grants funded by entities like the Saudi Authority for Industrial Cities and Technology Zones (MODON) are essential to bridge the gap between theoretical knowledge and practical application. The ideal candidate emerging from these programs is not only technically proficient but also culturally attuned to the business practices of both international partners and local stakeholders.</w:t>
      </w:r>
    </w:p>
    <w:p>
      <w:pPr>
        <w:pStyle w:val="BodyText"/>
      </w:pPr>
      <w:r>
        <w:t xml:space="preserve">Furthermore, continuous professional development is vital. As aviation technology evolves with the introduction of electric vertical take-off and landing (eVTOL) aircraft and autonomous flight systems,</w:t>
      </w:r>
      <w:r>
        <w:t xml:space="preserve"> </w:t>
      </w:r>
      <w:r>
        <w:rPr>
          <w:bCs/>
          <w:b/>
        </w:rPr>
        <w:t xml:space="preserve">Aerospace Engineer</w:t>
      </w:r>
      <w:r>
        <w:t xml:space="preserve"> </w:t>
      </w:r>
      <w:r>
        <w:t xml:space="preserve">professionals in Riyadh must engage in lifelong learning. Workshops, certifications, and international exchanges facilitated by local government bodies ensure that the workforce remains at the forefront of technological advancements.</w:t>
      </w:r>
    </w:p>
    <w:bookmarkEnd w:id="23"/>
    <w:bookmarkStart w:id="24" w:name="challenges-and-future-outlook"/>
    <w:p>
      <w:pPr>
        <w:pStyle w:val="Heading2"/>
      </w:pPr>
      <w:r>
        <w:t xml:space="preserve">5. Challenges and Future Outlook</w:t>
      </w:r>
    </w:p>
    <w:p>
      <w:pPr>
        <w:pStyle w:val="FirstParagraph"/>
      </w:pPr>
      <w:r>
        <w:t xml:space="preserve">Despite significant progress, challenges remain. These include attracting top-tier global talent to reside in Riyadh due to competitive salaries offered in traditional aerospace hubs like Seattle or Toulouse. Additionally, intellectual property rights and data security concerns often complicate collaborations between local firms and international partners.</w:t>
      </w:r>
    </w:p>
    <w:p>
      <w:pPr>
        <w:pStyle w:val="BodyText"/>
      </w:pPr>
      <w:r>
        <w:t xml:space="preserve">To address these issues, the Kingdom must continue to refine its regulatory environment, offering incentives such as tax holidays, visa reforms for experts (such as the Premium Residency program), and robust legal frameworks for IP protection. The government’s commitment to establishing a space industry worth billions of dollars by 2030 provides a clear roadmap for investment.</w:t>
      </w:r>
    </w:p>
    <w:p>
      <w:pPr>
        <w:pStyle w:val="BodyText"/>
      </w:pPr>
      <w:r>
        <w:t xml:space="preserve">The future of aerospace in</w:t>
      </w:r>
      <w:r>
        <w:t xml:space="preserve"> </w:t>
      </w:r>
      <w:r>
        <w:rPr>
          <w:bCs/>
          <w:b/>
        </w:rPr>
        <w:t xml:space="preserve">Saudi Arabia Riyadh</w:t>
      </w:r>
      <w:r>
        <w:t xml:space="preserve"> </w:t>
      </w:r>
      <w:r>
        <w:t xml:space="preserve">looks promising. With the successful execution of recent lunar exploration missions involving Saudi astronauts and engineers, the Kingdom has demonstrated its capability to deliver complex projects. The next phase will involve scaling up domestic manufacturing capabilities.</w:t>
      </w:r>
      <w:r>
        <w:t xml:space="preserve"> </w:t>
      </w:r>
      <w:r>
        <w:rPr>
          <w:bCs/>
          <w:b/>
        </w:rPr>
        <w:t xml:space="preserve">Aerospace Engineer</w:t>
      </w:r>
      <w:r>
        <w:t xml:space="preserve"> </w:t>
      </w:r>
      <w:r>
        <w:t xml:space="preserve">professionals will play a leading role in designing aircraft components, optimizing fuel efficiency, and implementing sustainable aviation fuels (SAF), aligning with global environmental goals.</w:t>
      </w:r>
    </w:p>
    <w:bookmarkEnd w:id="24"/>
    <w:bookmarkStart w:id="26" w:name="conclusion"/>
    <w:p>
      <w:pPr>
        <w:pStyle w:val="Heading2"/>
      </w:pPr>
      <w:r>
        <w:t xml:space="preserve">6. Conclusion</w:t>
      </w:r>
    </w:p>
    <w:p>
      <w:pPr>
        <w:pStyle w:val="FirstParagraph"/>
      </w:pPr>
      <w:r>
        <w:t xml:space="preserve">In conclusion, the integration of</w:t>
      </w:r>
      <w:r>
        <w:t xml:space="preserve"> </w:t>
      </w:r>
      <w:r>
        <w:rPr>
          <w:bCs/>
          <w:b/>
        </w:rPr>
        <w:t xml:space="preserve">Aerospace Engineer</w:t>
      </w:r>
      <w:r>
        <w:t xml:space="preserve"> </w:t>
      </w:r>
      <w:r>
        <w:t xml:space="preserve">expertise into the industrial fabric of</w:t>
      </w:r>
      <w:r>
        <w:t xml:space="preserve"> </w:t>
      </w:r>
      <w:r>
        <w:rPr>
          <w:bCs/>
          <w:b/>
        </w:rPr>
        <w:t xml:space="preserve">Saudi Arabia Riyadh</w:t>
      </w:r>
      <w:r>
        <w:t xml:space="preserve"> </w:t>
      </w:r>
      <w:r>
        <w:t xml:space="preserve">is a decisive factor in realizing Vision 2030. By leveraging Riyadh’s strategic location, investing in human capital through education and training, and fostering public-private partnerships, Saudi Arabia can establish itself as a global leader in aerospace technology.</w:t>
      </w:r>
    </w:p>
    <w:p>
      <w:pPr>
        <w:pStyle w:val="BodyText"/>
      </w:pPr>
      <w:r>
        <w:t xml:space="preserve">The journey ahead requires sustained commitment from policymakers, industry leaders, and educators. However, the potential rewards—economic diversification enhanced technological sovereignty—are immense. As the Kingdom moves forward on this path of innovation and localization,</w:t>
      </w:r>
      <w:r>
        <w:rPr>
          <w:bCs/>
          <w:b/>
        </w:rPr>
        <w:t xml:space="preserve">Aerospace Engineer</w:t>
      </w:r>
      <w:r>
        <w:t xml:space="preserve"> </w:t>
      </w:r>
      <w:r>
        <w:t xml:space="preserve">professionals will undoubtedly be at the helm, navigating complex technical challenges and shaping a new era for aviation in Saudi Arabia.</w:t>
      </w:r>
    </w:p>
    <w:bookmarkStart w:id="25" w:name="references"/>
    <w:p>
      <w:pPr>
        <w:pStyle w:val="Heading3"/>
      </w:pPr>
      <w:r>
        <w:t xml:space="preserve">References</w:t>
      </w:r>
    </w:p>
    <w:p>
      <w:pPr>
        <w:numPr>
          <w:ilvl w:val="0"/>
          <w:numId w:val="1001"/>
        </w:numPr>
        <w:pStyle w:val="Compact"/>
      </w:pPr>
      <w:r>
        <w:t xml:space="preserve">Saudi Vision 2030 Official Portal. (n.d.). Defense and National Security Sector Program.</w:t>
      </w:r>
    </w:p>
    <w:p>
      <w:pPr>
        <w:numPr>
          <w:ilvl w:val="0"/>
          <w:numId w:val="1001"/>
        </w:numPr>
        <w:pStyle w:val="Compact"/>
      </w:pPr>
      <w:r>
        <w:t xml:space="preserve">Civil Aviation Authority of Saudi Arabia (GACA). (2023). Annual Report on Aviation Safety and Development.</w:t>
      </w:r>
    </w:p>
    <w:p>
      <w:pPr>
        <w:numPr>
          <w:ilvl w:val="0"/>
          <w:numId w:val="1001"/>
        </w:numPr>
        <w:pStyle w:val="Compact"/>
      </w:pPr>
      <w:r>
        <w:t xml:space="preserve">Saudi Space Commission. (2024). Strategic Plan for National Space Activities 2035.</w:t>
      </w:r>
    </w:p>
    <w:p>
      <w:pPr>
        <w:numPr>
          <w:ilvl w:val="0"/>
          <w:numId w:val="1001"/>
        </w:numPr>
        <w:pStyle w:val="Compact"/>
      </w:pPr>
      <w:r>
        <w:t xml:space="preserve">KACST. (n.d.). Initiatives in Aerospace Engineering and Satellite Technology.</w:t>
      </w:r>
    </w:p>
    <w:p>
      <w:pPr>
        <w:numPr>
          <w:ilvl w:val="0"/>
          <w:numId w:val="1001"/>
        </w:numPr>
        <w:pStyle w:val="Compact"/>
      </w:pPr>
      <w:r>
        <w:t xml:space="preserve">Bureau of Labor Statistics &amp; Local Market Analysis Reports on GCC Aerospace Sector Growth (2019-2034).</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of Aerospace Engineering in Saudi Arabia: Aligning Human Capital with Vision 2030</dc:title>
  <dc:creator/>
  <cp:keywords/>
  <dcterms:created xsi:type="dcterms:W3CDTF">2026-07-30T13:05:51Z</dcterms:created>
  <dcterms:modified xsi:type="dcterms:W3CDTF">2026-07-30T13:05:51Z</dcterms:modified>
</cp:coreProperties>
</file>

<file path=docProps/custom.xml><?xml version="1.0" encoding="utf-8"?>
<Properties xmlns="http://schemas.openxmlformats.org/officeDocument/2006/custom-properties" xmlns:vt="http://schemas.openxmlformats.org/officeDocument/2006/docPropsVTypes"/>
</file>