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Frankfurt</w:t>
      </w:r>
    </w:p>
    <w:bookmarkStart w:id="33" w:name="Xae99dda43316ba22ba76bde5692637e75ceed00"/>
    <w:p>
      <w:pPr>
        <w:pStyle w:val="Heading1"/>
      </w:pPr>
      <w:r>
        <w:t xml:space="preserve">The Role and Strategic Importance of the Auditor in Germany Frankfurt: Navigating Regulatory Complexity and Financial Integrity</w:t>
      </w:r>
    </w:p>
    <w:p>
      <w:pPr>
        <w:pStyle w:val="FirstParagraph"/>
      </w:pPr>
      <w:r>
        <w:rPr>
          <w:bCs/>
          <w:b/>
        </w:rPr>
        <w:t xml:space="preserve">Abstract</w:t>
      </w:r>
      <w:r>
        <w:br/>
      </w:r>
      <w:r>
        <w:br/>
      </w:r>
      <w:r>
        <w:t xml:space="preserve">This research paper examines the critical function of the professional auditor within the unique economic and regulatory landscape of Germany Frankfurt. As one of Europe’s most significant financial hubs, Frankfurt presents a distinct set of challenges and opportunities for audit professionals. This document explores the intersection of German commercial law (HGB), European Union directives, and International Financial Reporting Standards (IFRS) as they apply to auditors operating in this metropolitan center. Furthermore, it analyzes the evolving expectations regarding fraud detection, digital transformation in auditing practices, and the ethical responsibilities inherent to maintaining market confidence in one of Germany’s most vital economic centers.</w:t>
      </w:r>
    </w:p>
    <w:bookmarkStart w:id="20" w:name="introduction"/>
    <w:p>
      <w:pPr>
        <w:pStyle w:val="Heading2"/>
      </w:pPr>
      <w:r>
        <w:t xml:space="preserve">1. Introduction</w:t>
      </w:r>
    </w:p>
    <w:p>
      <w:pPr>
        <w:pStyle w:val="FirstParagraph"/>
      </w:pPr>
      <w:r>
        <w:t xml:space="preserve">The financial ecosystem of Germany Frankfurt serves as the beating heart of European finance. Home to the European Central Bank (ECB), the Deutsche Börse, and a multitude of major banking institutions, Germany Frankfurt is not merely a geographic location but a symbol of financial stability and regulatory rigor. Within this high-stakes environment, the</w:t>
      </w:r>
      <w:r>
        <w:t xml:space="preserve"> </w:t>
      </w:r>
      <w:r>
        <w:rPr>
          <w:bCs/>
          <w:b/>
        </w:rPr>
        <w:t xml:space="preserve">Auditor</w:t>
      </w:r>
      <w:r>
        <w:t xml:space="preserve"> </w:t>
      </w:r>
      <w:r>
        <w:t xml:space="preserve">plays an indispensable role as the guardian of financial truth. The presence of numerous public interest entities (PIEs) in</w:t>
      </w:r>
      <w:r>
        <w:t xml:space="preserve"> </w:t>
      </w:r>
      <w:r>
        <w:rPr>
          <w:bCs/>
          <w:b/>
        </w:rPr>
        <w:t xml:space="preserve">Germany Frankfurt</w:t>
      </w:r>
      <w:r>
        <w:t xml:space="preserve"> </w:t>
      </w:r>
      <w:r>
        <w:t xml:space="preserve">necessitates an audit framework that exceeds standard compliance, demanding a level of scrutiny, independence, and technical proficiency that is unparalleled.</w:t>
      </w:r>
    </w:p>
    <w:p>
      <w:pPr>
        <w:pStyle w:val="BodyText"/>
      </w:pPr>
      <w:r>
        <w:t xml:space="preserve">This paper aims to dissect the multifaceted responsibilities of the auditor within this specific context. It argues that in</w:t>
      </w:r>
      <w:r>
        <w:t xml:space="preserve"> </w:t>
      </w:r>
      <w:r>
        <w:rPr>
          <w:bCs/>
          <w:b/>
        </w:rPr>
        <w:t xml:space="preserve">Germany Frankfurt</w:t>
      </w:r>
      <w:r>
        <w:t xml:space="preserve">, the auditor is not just a verifier of numbers but a strategic partner in maintaining the integrity of capital markets, ensuring compliance with stringent national and supranational regulations, and fostering trust among international investors.</w:t>
      </w:r>
    </w:p>
    <w:bookmarkEnd w:id="20"/>
    <w:bookmarkStart w:id="24" w:name="X9c2811fc82685c5741f237ce542019a78a2b66d"/>
    <w:p>
      <w:pPr>
        <w:pStyle w:val="Heading2"/>
      </w:pPr>
      <w:r>
        <w:t xml:space="preserve">2. The Regulatory Landscape: A Triad of Compliance</w:t>
      </w:r>
    </w:p>
    <w:p>
      <w:pPr>
        <w:pStyle w:val="FirstParagraph"/>
      </w:pPr>
      <w:r>
        <w:t xml:space="preserve">To understand the position of the</w:t>
      </w:r>
      <w:r>
        <w:t xml:space="preserve"> </w:t>
      </w:r>
      <w:r>
        <w:rPr>
          <w:bCs/>
          <w:b/>
        </w:rPr>
        <w:t xml:space="preserve">Auditor</w:t>
      </w:r>
      <w:r>
        <w:t xml:space="preserve"> </w:t>
      </w:r>
      <w:r>
        <w:t xml:space="preserve">in</w:t>
      </w:r>
      <w:r>
        <w:t xml:space="preserve"> </w:t>
      </w:r>
      <w:r>
        <w:rPr>
          <w:bCs/>
          <w:b/>
        </w:rPr>
        <w:t xml:space="preserve">Germany Frankfurt</w:t>
      </w:r>
      <w:r>
        <w:t xml:space="preserve">, one must first appreciate the complex regulatory matrix in which they operate. This matrix is composed of three primary pillars: German Commercial Law (Handelsgesetzbuch or HGB), European Union Directives, and International Standards.</w:t>
      </w:r>
    </w:p>
    <w:bookmarkStart w:id="21" w:name="german-commercial-code-hgb"/>
    <w:p>
      <w:pPr>
        <w:pStyle w:val="Heading3"/>
      </w:pPr>
      <w:r>
        <w:t xml:space="preserve">2.1 German Commercial Code (HGB)</w:t>
      </w:r>
    </w:p>
    <w:p>
      <w:pPr>
        <w:pStyle w:val="FirstParagraph"/>
      </w:pPr>
      <w:r>
        <w:t xml:space="preserve">The foundation of auditing in Germany lies in the HGB. For companies headquartered in</w:t>
      </w:r>
      <w:r>
        <w:t xml:space="preserve"> </w:t>
      </w:r>
      <w:r>
        <w:rPr>
          <w:bCs/>
          <w:b/>
        </w:rPr>
        <w:t xml:space="preserve">Germany Frankfurt</w:t>
      </w:r>
      <w:r>
        <w:t xml:space="preserve">, particularly those that are not publicly traded on the Deutsche Börse, HGB standards dictate the scope and manner of financial reporting and auditing. The HGB emphasizes a "true and fair view" (wahrheitsgetreue Darstellung) but often incorporates more conservative accounting principles compared to US GAAP. Auditors in this region must possess deep expertise in these local nuances, ensuring that assets are not overstated and liabilities are fully accounted for, reflecting the German cultural preference for prudence.</w:t>
      </w:r>
    </w:p>
    <w:bookmarkEnd w:id="21"/>
    <w:bookmarkStart w:id="22" w:name="eu-audit-reform-and-ifrs"/>
    <w:p>
      <w:pPr>
        <w:pStyle w:val="Heading3"/>
      </w:pPr>
      <w:r>
        <w:t xml:space="preserve">2.2 EU Audit Reform and IFRS</w:t>
      </w:r>
    </w:p>
    <w:p>
      <w:pPr>
        <w:pStyle w:val="FirstParagraph"/>
      </w:pPr>
      <w:r>
        <w:t xml:space="preserve">Conversely, many of the large corporations based in</w:t>
      </w:r>
      <w:r>
        <w:t xml:space="preserve"> </w:t>
      </w:r>
      <w:r>
        <w:rPr>
          <w:bCs/>
          <w:b/>
        </w:rPr>
        <w:t xml:space="preserve">Germany Frankfurt</w:t>
      </w:r>
      <w:r>
        <w:t xml:space="preserve">, especially those listed on regulated markets, are required to prepare consolidated financial statements in accordance with International Financial Reporting Standards (IFRS). These entities fall under the rigorous scope of EU Audit Reform regulations. The Auditor must navigate the European Audit Directive and Regulation, which impose strict requirements on audit firm rotation, non-audit service prohibitions, and public disclosure reports. This dual burden requires auditors to be fluent in both international standards and local statutory requirements.</w:t>
      </w:r>
    </w:p>
    <w:bookmarkEnd w:id="22"/>
    <w:bookmarkStart w:id="23" w:name="supervisory-bodies"/>
    <w:p>
      <w:pPr>
        <w:pStyle w:val="Heading3"/>
      </w:pPr>
      <w:r>
        <w:t xml:space="preserve">2.3 Supervisory Bodies</w:t>
      </w:r>
    </w:p>
    <w:p>
      <w:pPr>
        <w:pStyle w:val="FirstParagraph"/>
      </w:pPr>
      <w:r>
        <w:t xml:space="preserve">The oversight of the auditing profession in</w:t>
      </w:r>
      <w:r>
        <w:t xml:space="preserve"> </w:t>
      </w:r>
      <w:r>
        <w:rPr>
          <w:bCs/>
          <w:b/>
        </w:rPr>
        <w:t xml:space="preserve">Germany Frankfurt</w:t>
      </w:r>
      <w:r>
        <w:t xml:space="preserve"> </w:t>
      </w:r>
      <w:r>
        <w:t xml:space="preserve">is shared between the Wirtschaftsprüferkammer (WPK), the Chamber of Public Auditors, and various financial supervisory authorities like BaFin (Federal Financial Supervisory Authority). The Auditor must maintain continuous professional development and adhere to strict ethical codes enforced by these bodies. The threat of sanctions for non-compliance is significant, reinforcing the high stakes associated with audit quality in this region.</w:t>
      </w:r>
    </w:p>
    <w:bookmarkEnd w:id="23"/>
    <w:bookmarkEnd w:id="24"/>
    <w:bookmarkStart w:id="27" w:name="special-challenges-in-a-financial-hub"/>
    <w:p>
      <w:pPr>
        <w:pStyle w:val="Heading2"/>
      </w:pPr>
      <w:r>
        <w:t xml:space="preserve">3. Special Challenges in a Financial Hub</w:t>
      </w:r>
    </w:p>
    <w:p>
      <w:pPr>
        <w:pStyle w:val="FirstParagraph"/>
      </w:pPr>
      <w:r>
        <w:t xml:space="preserve">The density of financial institutions in</w:t>
      </w:r>
      <w:r>
        <w:t xml:space="preserve"> </w:t>
      </w:r>
      <w:r>
        <w:rPr>
          <w:bCs/>
          <w:b/>
        </w:rPr>
        <w:t xml:space="preserve">Germany Frankfurt</w:t>
      </w:r>
    </w:p>
    <w:bookmarkStart w:id="25" w:name="systemic-risk-and-interconnectedness"/>
    <w:p>
      <w:pPr>
        <w:pStyle w:val="Heading3"/>
      </w:pPr>
      <w:r>
        <w:t xml:space="preserve">3.1 Systemic Risk and Interconnectedness</w:t>
      </w:r>
    </w:p>
    <w:p>
      <w:pPr>
        <w:pStyle w:val="FirstParagraph"/>
      </w:pPr>
      <w:r>
        <w:t xml:space="preserve">Auditors of banks and insurance companies in</w:t>
      </w:r>
      <w:r>
        <w:t xml:space="preserve"> </w:t>
      </w:r>
      <w:r>
        <w:rPr>
          <w:bCs/>
          <w:b/>
        </w:rPr>
        <w:t xml:space="preserve">Germany Frankfurt</w:t>
      </w:r>
      <w:r>
        <w:t xml:space="preserve"> </w:t>
      </w:r>
      <w:r>
        <w:t xml:space="preserve">are on the front lines of monitoring systemic risk. The interconnectedness of these institutions means that a failure in one entity can have cascading effects throughout the European financial system. Therefore, the auditor’s role extends beyond checking balances to assessing going concern assumptions, liquidity risks, and capital adequacy ratios under Basel III/IV frameworks.</w:t>
      </w:r>
    </w:p>
    <w:bookmarkEnd w:id="25"/>
    <w:bookmarkStart w:id="26" w:name="fraud-detection-and-forensic-auditing"/>
    <w:p>
      <w:pPr>
        <w:pStyle w:val="Heading3"/>
      </w:pPr>
      <w:r>
        <w:t xml:space="preserve">3.2 Fraud Detection and Forensic Auditing</w:t>
      </w:r>
    </w:p>
    <w:p>
      <w:pPr>
        <w:pStyle w:val="FirstParagraph"/>
      </w:pPr>
      <w:r>
        <w:t xml:space="preserve">In a city representing trillions of euros in assets, the temptation for financial misrepresentation is high. Consequently, modern auditing in</w:t>
      </w:r>
      <w:r>
        <w:t xml:space="preserve"> </w:t>
      </w:r>
      <w:r>
        <w:rPr>
          <w:bCs/>
          <w:b/>
        </w:rPr>
        <w:t xml:space="preserve">Germany Frankfurt</w:t>
      </w:r>
    </w:p>
    <w:bookmarkEnd w:id="26"/>
    <w:bookmarkEnd w:id="27"/>
    <w:bookmarkStart w:id="30" w:name="Xfb1bb147b83555c50399ca544e89edc99af3cbb"/>
    <w:p>
      <w:pPr>
        <w:pStyle w:val="Heading2"/>
      </w:pPr>
      <w:r>
        <w:t xml:space="preserve">4. Digital Transformation and Future Outlook</w:t>
      </w:r>
    </w:p>
    <w:p>
      <w:pPr>
        <w:pStyle w:val="FirstParagraph"/>
      </w:pPr>
      <w:r>
        <w:t xml:space="preserve">The traditional model of auditing is undergoing a radical transformation driven by technology. For the auditor in</w:t>
      </w:r>
      <w:r>
        <w:t xml:space="preserve"> </w:t>
      </w:r>
      <w:r>
        <w:rPr>
          <w:bCs/>
          <w:b/>
        </w:rPr>
        <w:t xml:space="preserve">Germany Frankfurt</w:t>
      </w:r>
      <w:r>
        <w:t xml:space="preserve">, embracing digital tools is no longer optional but essential for efficiency and accuracy.</w:t>
      </w:r>
    </w:p>
    <w:bookmarkStart w:id="28" w:name="X6006e989018f7584aabbb6a5be7966dcb002c69"/>
    <w:p>
      <w:pPr>
        <w:pStyle w:val="Heading3"/>
      </w:pPr>
      <w:r>
        <w:t xml:space="preserve">4.1 Artificial Intelligence and Machine Learning</w:t>
      </w:r>
    </w:p>
    <w:p>
      <w:pPr>
        <w:pStyle w:val="FirstParagraph"/>
      </w:pPr>
      <w:r>
        <w:t xml:space="preserve">Firms operating in this competitive market are leveraging AI to automate routine testing processes. This shift allows auditors to focus their human expertise on complex judgment areas, such as estimating fair values of illiquid assets or assessing the impairment of goodwill. However, this also introduces new risks regarding algorithmic bias and data security, which auditors must now evaluate as part of their IT audit procedures.</w:t>
      </w:r>
    </w:p>
    <w:bookmarkEnd w:id="28"/>
    <w:bookmarkStart w:id="29" w:name="blockchain-and-real-time-auditing"/>
    <w:p>
      <w:pPr>
        <w:pStyle w:val="Heading3"/>
      </w:pPr>
      <w:r>
        <w:t xml:space="preserve">4.2 Blockchain and Real-Time Auditing</w:t>
      </w:r>
    </w:p>
    <w:p>
      <w:pPr>
        <w:pStyle w:val="FirstParagraph"/>
      </w:pPr>
      <w:r>
        <w:t xml:space="preserve">The rise of blockchain technology in the financial sector offers the potential for real-time auditing. While still emerging, the integration of distributed ledger technology could fundamentally change how auditors verify transactions in</w:t>
      </w:r>
      <w:r>
        <w:t xml:space="preserve"> </w:t>
      </w:r>
      <w:r>
        <w:rPr>
          <w:bCs/>
          <w:b/>
        </w:rPr>
        <w:t xml:space="preserve">Germany Frankfurt</w:t>
      </w:r>
      <w:r>
        <w:t xml:space="preserve">. Auditors will need to adapt their skill sets to understand cryptographic verification and smart contract logic, ensuring that automated processes comply with regulatory requirements.</w:t>
      </w:r>
    </w:p>
    <w:bookmarkEnd w:id="29"/>
    <w:bookmarkEnd w:id="30"/>
    <w:bookmarkStart w:id="31" w:name="ethical-imperatives-and-public-trust"/>
    <w:p>
      <w:pPr>
        <w:pStyle w:val="Heading2"/>
      </w:pPr>
      <w:r>
        <w:t xml:space="preserve">5. Ethical Imperatives and Public Trust</w:t>
      </w:r>
    </w:p>
    <w:p>
      <w:pPr>
        <w:pStyle w:val="FirstParagraph"/>
      </w:pPr>
      <w:r>
        <w:t xml:space="preserve">The ultimate currency of the auditor is trust. In</w:t>
      </w:r>
      <w:r>
        <w:t xml:space="preserve"> </w:t>
      </w:r>
      <w:r>
        <w:rPr>
          <w:bCs/>
          <w:b/>
        </w:rPr>
        <w:t xml:space="preserve">Germany Frankfurt</w:t>
      </w:r>
      <w:r>
        <w:t xml:space="preserve">, where capital flows are critical to the broader German and European economy, the ethical stance of the auditor is paramount. Independence is not just a professional requirement but a societal necessity. Auditors must navigate potential conflicts of interest, particularly in an environment where large consulting firms also provide advisory services to their audit clients. The strict separation of audit and non-audit services mandated by EU law aims to preserve this independence.</w:t>
      </w:r>
    </w:p>
    <w:p>
      <w:pPr>
        <w:pStyle w:val="BodyText"/>
      </w:pPr>
      <w:r>
        <w:t xml:space="preserve">Moreover, auditors are increasingly called upon to report on non-financial aspects, such as Environmental, Social, and Governance (ESG) criteria. The Corporate Sustainability Reporting Directive (CSRD) will soon require rigorous assurance of sustainability reports. For the auditor in</w:t>
      </w:r>
      <w:r>
        <w:t xml:space="preserve"> </w:t>
      </w:r>
      <w:r>
        <w:rPr>
          <w:bCs/>
          <w:b/>
        </w:rPr>
        <w:t xml:space="preserve">Germany Frankfurt</w:t>
      </w:r>
      <w:r>
        <w:t xml:space="preserve">, this expands their mandate from purely financial integrity to holistic corporate responsibility.</w:t>
      </w:r>
    </w:p>
    <w:bookmarkEnd w:id="31"/>
    <w:bookmarkStart w:id="32" w:name="conclusion"/>
    <w:p>
      <w:pPr>
        <w:pStyle w:val="Heading2"/>
      </w:pPr>
      <w:r>
        <w:t xml:space="preserve">6. Conclusion</w:t>
      </w:r>
    </w:p>
    <w:p>
      <w:pPr>
        <w:pStyle w:val="FirstParagraph"/>
      </w:pPr>
      <w:r>
        <w:t xml:space="preserve">In conclusion, the role of the Auditor in Germany Frankfurt is both complex and critically important. Operating at the intersection of local statutory obligations and global international standards, these professionals ensure that one of Europe’s most significant financial centers remains robust, transparent, and trustworthy. The challenges they face—ranging from regulatory complexity and systemic risk to technological disruption—are substantial. However, through rigorous adherence to ethical standards, continuous adaptation to digital tools auditors in</w:t>
      </w:r>
      <w:r>
        <w:t xml:space="preserve"> </w:t>
      </w:r>
      <w:r>
        <w:rPr>
          <w:bCs/>
          <w:b/>
        </w:rPr>
        <w:t xml:space="preserve">Germany Frankfurt</w:t>
      </w:r>
      <w:r>
        <w:t xml:space="preserve"> </w:t>
      </w:r>
      <w:r>
        <w:t xml:space="preserve">play a vital role in safeguarding the integrity of financial markets. As the landscape continues to evolve with new regulations like CSRD and advancements in AI, the demand for highly skilled, ethically grounded audit professionals will only intensify. The Auditor remains an essential pillar of stability and confidence in</w:t>
      </w:r>
      <w:r>
        <w:t xml:space="preserve"> </w:t>
      </w:r>
      <w:r>
        <w:rPr>
          <w:bCs/>
          <w:b/>
        </w:rPr>
        <w:t xml:space="preserve">Germany Frankfurt</w:t>
      </w:r>
      <w:r>
        <w:t xml:space="preserve">.</w:t>
      </w:r>
    </w:p>
    <w:p>
      <w:pPr>
        <w:pStyle w:val="BodyText"/>
      </w:pPr>
      <w:r>
        <w:rPr>
          <w:iCs/>
          <w:i/>
        </w:rPr>
        <w:t xml:space="preserve">Note: This document serves as a research overview regarding auditing standards and practices relevant to Germany Frankfurt.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Auditor in Germany Frankfurt</dc:title>
  <dc:creator/>
  <dc:language>en</dc:language>
  <cp:keywords/>
  <dcterms:created xsi:type="dcterms:W3CDTF">2026-07-29T08:58:41Z</dcterms:created>
  <dcterms:modified xsi:type="dcterms:W3CDTF">2026-07-29T08:58:41Z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