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Regulatory</w:t>
      </w:r>
      <w:r>
        <w:t xml:space="preserve"> </w:t>
      </w:r>
      <w:r>
        <w:t xml:space="preserve">Landscapes</w:t>
      </w:r>
      <w:r>
        <w:t xml:space="preserve"> </w:t>
      </w:r>
      <w:r>
        <w:t xml:space="preserve">and</w:t>
      </w:r>
      <w:r>
        <w:t xml:space="preserve"> </w:t>
      </w:r>
      <w:r>
        <w:t xml:space="preserve">Economic</w:t>
      </w:r>
      <w:r>
        <w:t xml:space="preserve"> </w:t>
      </w:r>
      <w:r>
        <w:t xml:space="preserve">Diversification</w:t>
      </w:r>
    </w:p>
    <w:bookmarkStart w:id="35" w:name="X35e24dd04daedf916e15aeacfb131c82ce9e0bc"/>
    <w:p>
      <w:pPr>
        <w:pStyle w:val="Heading1"/>
      </w:pPr>
      <w:r>
        <w:t xml:space="preserve">The Role and Evolution of the Auditor in Kuwait City: Navigating Regulatory Landscapes and Economic Diversification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Research Draft</w:t>
      </w:r>
      <w:r>
        <w:br/>
      </w:r>
      <w:r>
        <w:rPr>
          <w:bCs/>
          <w:b/>
        </w:rPr>
        <w:t xml:space="preserve">Jurisdiction:</w:t>
      </w:r>
      <w:r>
        <w:t xml:space="preserve"> </w:t>
      </w:r>
      <w:r>
        <w:t xml:space="preserve">State of Kuwait, specifically focusing on the capital region of Kuwait City</w:t>
      </w:r>
    </w:p>
    <w:bookmarkStart w:id="20" w:name="abstract"/>
    <w:p>
      <w:pPr>
        <w:pStyle w:val="Heading2"/>
      </w:pPr>
      <w:r>
        <w:t xml:space="preserve">Abstract</w:t>
      </w:r>
    </w:p>
    <w:p>
      <w:pPr>
        <w:pStyle w:val="FirstParagraph"/>
      </w:pPr>
      <w:r>
        <w:t xml:space="preserve">This research paper examines the critical role of the Auditor within the dynamic economic ecosystem of Kuwait City. As a nation undergoing significant transformation under its "New KuwaIt" vision, driven by Vision 2035, Kuuait has moved beyond its traditional reliance on oil revenues toward a diversified economic model. In this context, the integrity and competence of financial reporting have become paramount. This paper explores the regulatory framework governing auditors in Kuwait City, including the influence of International Standards on Auditing (ISA) and local commercial laws. It further analyzes the challenges faced by auditing firms operating in Kuwait’s unique public-private partnership landscape and highlights future trends such as digitalization, anti-money laundering (AML) compliance, and environmental governance.</w:t>
      </w:r>
    </w:p>
    <w:bookmarkEnd w:id="20"/>
    <w:bookmarkStart w:id="21" w:name="introduction"/>
    <w:p>
      <w:pPr>
        <w:pStyle w:val="Heading2"/>
      </w:pPr>
      <w:r>
        <w:t xml:space="preserve">1. Introduction</w:t>
      </w:r>
    </w:p>
    <w:p>
      <w:pPr>
        <w:pStyle w:val="FirstParagraph"/>
      </w:pPr>
      <w:r>
        <w:t xml:space="preserve">Kuwait City serves as the financial, administrative, and cultural heart of the State of Kuwait. Historically characterized by a robust public sector driven by oil wealth, the city is now witnessing a surge in private enterprise investment aimed at economic diversification. At the center of this transition lies the profession of auditing. The Auditor is no longer merely a compliance officer checking boxes for regulatory adherence but has evolved into a strategic advisor ensuring transparency, accountability, and trust in financial markets.</w:t>
      </w:r>
    </w:p>
    <w:p>
      <w:pPr>
        <w:pStyle w:val="BodyText"/>
      </w:pPr>
      <w:r>
        <w:t xml:space="preserve">In Kuwait City, where family-owned conglomerates coexist with multinational corporations and state-owned enterprises (SOEs), the demand for high-quality audit services has intensified. The auditor acts as the primary guardian of corporate governance, bridging the gap between management representations and stakeholder expectations. This paper argues that the effectiveness of an Auditor in Kuwait City is deeply intertwined with local regulatory enforcement, cultural business practices, and global professional standards.</w:t>
      </w:r>
    </w:p>
    <w:bookmarkEnd w:id="21"/>
    <w:bookmarkStart w:id="24" w:name="regulatory-framework-governing-auditors"/>
    <w:p>
      <w:pPr>
        <w:pStyle w:val="Heading2"/>
      </w:pPr>
      <w:r>
        <w:t xml:space="preserve">2. Regulatory Framework Governing Auditors</w:t>
      </w:r>
    </w:p>
    <w:p>
      <w:pPr>
        <w:pStyle w:val="FirstParagraph"/>
      </w:pPr>
      <w:r>
        <w:t xml:space="preserve">The practice of auditing in Kuwait City is strictly regulated by a combination of national legislation and international best practices. The primary legal framework includes the Commercial Companies Law (CCL), which mandates that all joint-stock companies maintain an annual independent audit.</w:t>
      </w:r>
    </w:p>
    <w:bookmarkStart w:id="22" w:name="local-regulations-and-oversight"/>
    <w:p>
      <w:pPr>
        <w:pStyle w:val="Heading3"/>
      </w:pPr>
      <w:r>
        <w:t xml:space="preserve">2.1 Local Regulations and Oversight</w:t>
      </w:r>
    </w:p>
    <w:p>
      <w:pPr>
        <w:pStyle w:val="FirstParagraph"/>
      </w:pPr>
      <w:r>
        <w:t xml:space="preserve">The Capital Markets Authority (CMA) plays a pivotal role in supervising listed companies within Kuwait City. The CMA requires listed entities to undergo rigorous external audits performed by approved auditing firms. Furthermore, the Ministry of Commerce and Industry oversees the registration of audit firms, ensuring that only qualified professionals with appropriate licenses operate within the jurisdiction. Recent updates to these regulations have tightened requirements regarding auditor independence and rotation to prevent conflicts of interest.</w:t>
      </w:r>
    </w:p>
    <w:bookmarkEnd w:id="22"/>
    <w:bookmarkStart w:id="23" w:name="alignment-with-international-standards"/>
    <w:p>
      <w:pPr>
        <w:pStyle w:val="Heading3"/>
      </w:pPr>
      <w:r>
        <w:t xml:space="preserve">2.2 Alignment with International Standards</w:t>
      </w:r>
    </w:p>
    <w:p>
      <w:pPr>
        <w:pStyle w:val="FirstParagraph"/>
      </w:pPr>
      <w:r>
        <w:t xml:space="preserve">To attract foreign direct investment (FDI) and integrate into global financial markets, Kuwait has largely adopted the International Standards on Auditing (ISA). Most major audit firms operating in Kuwait City are affiliated with Big Four or regional top-tier firms that apply ISA frameworks. However, a gap occasionally exists between the strict application of ISAs and local administrative practices within some semi-governmental entities. Bridging this gap remains a primary challenge for auditors in Kuwait City.</w:t>
      </w:r>
    </w:p>
    <w:bookmarkEnd w:id="23"/>
    <w:bookmarkEnd w:id="24"/>
    <w:bookmarkStart w:id="27" w:name="the-evolving-role-of-the-auditor"/>
    <w:p>
      <w:pPr>
        <w:pStyle w:val="Heading2"/>
      </w:pPr>
      <w:r>
        <w:t xml:space="preserve">3. The Evolving Role of the Auditor</w:t>
      </w:r>
    </w:p>
    <w:p>
      <w:pPr>
        <w:pStyle w:val="FirstParagraph"/>
      </w:pPr>
      <w:r>
        <w:t xml:space="preserve">In the traditional sense, an auditor’s role was retrospective—examining past transactions for accuracy and compliance. In modern Kuwait City, however, the scope has expanded significantly.</w:t>
      </w:r>
    </w:p>
    <w:bookmarkStart w:id="25" w:name="forensic-auditing-and-fraud-detection"/>
    <w:p>
      <w:pPr>
        <w:pStyle w:val="Heading3"/>
      </w:pPr>
      <w:r>
        <w:t xml:space="preserve">3.1 Forensic Auditing and Fraud Detection</w:t>
      </w:r>
    </w:p>
    <w:p>
      <w:pPr>
        <w:pStyle w:val="FirstParagraph"/>
      </w:pPr>
      <w:r>
        <w:t xml:space="preserve">Globally and locally there is a rising awareness of corporate fraud risks. In response to high-profile financial scandals in neighboring regions, Kuwaiti authorities have strengthened enforcement mechanisms. Auditors are increasingly expected to possess forensic accounting skills capable of detecting sophisticated schemes involving procurement corruption or asset misappropriation, particularly within large-scale infrastructure projects common in Kuwait City.</w:t>
      </w:r>
    </w:p>
    <w:bookmarkEnd w:id="25"/>
    <w:bookmarkStart w:id="26" w:name="X2d4c022561646f305b764b214d77c6892e01134"/>
    <w:p>
      <w:pPr>
        <w:pStyle w:val="Heading3"/>
      </w:pPr>
      <w:r>
        <w:t xml:space="preserve">3.2 Advisory Services and Business Consulting</w:t>
      </w:r>
    </w:p>
    <w:p>
      <w:pPr>
        <w:pStyle w:val="FirstParagraph"/>
      </w:pPr>
      <w:r>
        <w:t xml:space="preserve">Beyond statutory audits, firms in Kuwait City are providing advisory services related to mergers and acquisitions (M&amp;A), restructuring, and internal control systems. Given the government’s push for privatization of certain public sectors—such as telecommunications, utilities, and transportation—auditors play a crucial role in valuing assets and assessing operational efficiencies.</w:t>
      </w:r>
    </w:p>
    <w:bookmarkEnd w:id="26"/>
    <w:bookmarkEnd w:id="27"/>
    <w:bookmarkStart w:id="28" w:name="X50709405d50d6befb899054ba9276344813851a"/>
    <w:p>
      <w:pPr>
        <w:pStyle w:val="Heading2"/>
      </w:pPr>
      <w:r>
        <w:t xml:space="preserve">4. Challenges Faced by Auditors in Kuwait City</w:t>
      </w:r>
    </w:p>
    <w:p>
      <w:pPr>
        <w:pStyle w:val="FirstParagraph"/>
      </w:pPr>
      <w:r>
        <w:t xml:space="preserve">Despite progress, several structural challenges persist for auditors operating in Kuwait City:</w:t>
      </w:r>
    </w:p>
    <w:p>
      <w:pPr>
        <w:numPr>
          <w:ilvl w:val="0"/>
          <w:numId w:val="1001"/>
        </w:numPr>
        <w:pStyle w:val="Compact"/>
      </w:pPr>
      <w:r>
        <w:rPr>
          <w:bCs/>
          <w:b/>
        </w:rPr>
        <w:t xml:space="preserve">Cultural and Hierarchical Barriers:</w:t>
      </w:r>
      <w:r>
        <w:t xml:space="preserve">In many traditional organizations, challenging senior management’s decisions can be culturally difficult. Auditors must navigate these hierarchies carefully while maintaining professional skepticism.</w:t>
      </w:r>
    </w:p>
    <w:p>
      <w:pPr>
        <w:numPr>
          <w:ilvl w:val="0"/>
          <w:numId w:val="1001"/>
        </w:numPr>
        <w:pStyle w:val="Compact"/>
      </w:pPr>
      <w:r>
        <w:rPr>
          <w:bCs/>
          <w:b/>
        </w:rPr>
        <w:t xml:space="preserve">Talent Retention and Localisation (Kuwaitization):</w:t>
      </w:r>
      <w:r>
        <w:t xml:space="preserve">The push for "Kuwaitization," which prioritizes hiring Kuwaiti nationals, has created a talent shortage in specialized fields like IT audit and forensic accounting. While this fosters local employment, it initially strains the availability of experienced professionals capable of handling complex audits.</w:t>
      </w:r>
    </w:p>
    <w:p>
      <w:pPr>
        <w:numPr>
          <w:ilvl w:val="0"/>
          <w:numId w:val="1001"/>
        </w:numPr>
        <w:pStyle w:val="Compact"/>
      </w:pPr>
      <w:r>
        <w:rPr>
          <w:bCs/>
          <w:b/>
        </w:rPr>
        <w:t xml:space="preserve">Digital Transformation Gaps:</w:t>
      </w:r>
      <w:r>
        <w:t xml:space="preserve">Many legacy systems within older institutions hinder the adoption of advanced data analytics tools required for modern auditing techniques. Auditors are often forced to rely on manual sampling rather than comprehensive population testing due to poor data availability.</w:t>
      </w:r>
    </w:p>
    <w:bookmarkEnd w:id="28"/>
    <w:bookmarkStart w:id="32" w:name="emerging-trends-and-future-outlook"/>
    <w:p>
      <w:pPr>
        <w:pStyle w:val="Heading2"/>
      </w:pPr>
      <w:r>
        <w:t xml:space="preserve">5. Emerging Trends and Future Outlook</w:t>
      </w:r>
    </w:p>
    <w:p>
      <w:pPr>
        <w:pStyle w:val="FirstParagraph"/>
      </w:pPr>
      <w:r>
        <w:t xml:space="preserve">The future of auditing in Kuwait City is shaped by three key trends: technology, sustainability, and regulatory harmonization.</w:t>
      </w:r>
    </w:p>
    <w:bookmarkStart w:id="29" w:name="technology-and-ai-in-auditing"/>
    <w:p>
      <w:pPr>
        <w:pStyle w:val="Heading3"/>
      </w:pPr>
      <w:r>
        <w:t xml:space="preserve">5.1 Technology and AI in Auditing</w:t>
      </w:r>
    </w:p>
    <w:p>
      <w:pPr>
        <w:pStyle w:val="FirstParagraph"/>
      </w:pPr>
      <w:r>
        <w:t xml:space="preserve">Auditors are increasingly leveraging Artificial Intelligence (AI) and blockchain technologies to enhance accuracy. In Kuwait City’s banking sector specifically, real-time auditing is becoming feasible due to digital banking infrastructure upgrades. This shift allows auditors to move from periodic checks to continuous monitoring.</w:t>
      </w:r>
    </w:p>
    <w:bookmarkEnd w:id="29"/>
    <w:bookmarkStart w:id="30" w:name="anti-money-laundering-aml-compliance"/>
    <w:p>
      <w:pPr>
        <w:pStyle w:val="Heading3"/>
      </w:pPr>
      <w:r>
        <w:t xml:space="preserve">5.2 Anti-Money Laundering (AML) Compliance</w:t>
      </w:r>
    </w:p>
    <w:p>
      <w:pPr>
        <w:pStyle w:val="FirstParagraph"/>
      </w:pPr>
      <w:r>
        <w:t xml:space="preserve">Kuwait has taken significant steps toward strengthening its AML regime in line with FATF recommendations. Auditors now bear greater responsibility for identifying suspicious transaction patterns, particularly in real estate and corporate structuring firms located within Kuwait City’s business districts.</w:t>
      </w:r>
    </w:p>
    <w:bookmarkEnd w:id="30"/>
    <w:bookmarkStart w:id="31" w:name="esg-environmental-social-and-governance"/>
    <w:p>
      <w:pPr>
        <w:pStyle w:val="Heading3"/>
      </w:pPr>
      <w:r>
        <w:t xml:space="preserve">5.3 ESG (Environmental, Social, and Governance)</w:t>
      </w:r>
    </w:p>
    <w:p>
      <w:pPr>
        <w:pStyle w:val="FirstParagraph"/>
      </w:pPr>
      <w:r>
        <w:t xml:space="preserve">As part of Vision 2035’s emphasis on sustainable development, there is growing demand for assurance on non-financial reporting. Auditors will soon be expected to verify companies’ environmental impact disclosures and social responsibility initiatives, marking a new era for the profession in Kuwait.</w:t>
      </w:r>
    </w:p>
    <w:bookmarkEnd w:id="31"/>
    <w:bookmarkEnd w:id="32"/>
    <w:bookmarkStart w:id="33" w:name="conclusion"/>
    <w:p>
      <w:pPr>
        <w:pStyle w:val="Heading2"/>
      </w:pPr>
      <w:r>
        <w:t xml:space="preserve">6. Conclusion</w:t>
      </w:r>
    </w:p>
    <w:p>
      <w:pPr>
        <w:pStyle w:val="FirstParagraph"/>
      </w:pPr>
      <w:r>
        <w:t xml:space="preserve">The Auditor in Kuwait City stands at a pivotal juncture. No longer just a watchdog of financial history, the auditor is becoming an architect of future stability and trust. The successful navigation of this transition requires adherence to international standards, adaptation to local cultural nuances, and embrace technological innovation.</w:t>
      </w:r>
    </w:p>
    <w:p>
      <w:pPr>
        <w:pStyle w:val="BodyText"/>
      </w:pPr>
      <w:r>
        <w:t xml:space="preserve">For Kuwait City to realize its full economic potential through diversification beyond oil, confidence in financial reporting is non-negotiable. Therefore, the continuous professional development of auditors, robust regulatory enforcement by bodies like the CMA and Ministry of Commerce, and investment in audit technology will define the next generation of corporate integrity in Kuwait.</w:t>
      </w:r>
    </w:p>
    <w:bookmarkEnd w:id="33"/>
    <w:bookmarkStart w:id="34" w:name="references"/>
    <w:p>
      <w:pPr>
        <w:pStyle w:val="Heading2"/>
      </w:pPr>
      <w:r>
        <w:t xml:space="preserve">References</w:t>
      </w:r>
    </w:p>
    <w:p>
      <w:pPr>
        <w:numPr>
          <w:ilvl w:val="0"/>
          <w:numId w:val="1002"/>
        </w:numPr>
        <w:pStyle w:val="Compact"/>
      </w:pPr>
      <w:r>
        <w:t xml:space="preserve">Kuwait Capital Markets Authority (CMA) Regulations on Corporate Governance.</w:t>
      </w:r>
    </w:p>
    <w:p>
      <w:pPr>
        <w:numPr>
          <w:ilvl w:val="0"/>
          <w:numId w:val="1002"/>
        </w:numPr>
        <w:pStyle w:val="Compact"/>
      </w:pPr>
      <w:r>
        <w:t xml:space="preserve">Kuwait Commercial Companies Law No. 1 of 2019.</w:t>
      </w:r>
    </w:p>
    <w:p>
      <w:pPr>
        <w:numPr>
          <w:ilvl w:val="0"/>
          <w:numId w:val="1002"/>
        </w:numPr>
        <w:pStyle w:val="Compact"/>
      </w:pPr>
      <w:r>
        <w:t xml:space="preserve">Kuwait Vision 2035 "New Kuwait" Development Plan Documents.</w:t>
      </w:r>
    </w:p>
    <w:p>
      <w:pPr>
        <w:pStyle w:val="FirstParagraph"/>
      </w:pPr>
      <w:r>
        <w:rPr>
          <w:iCs/>
          <w:i/>
        </w:rPr>
        <w:t xml:space="preserve">Note: This document serves as an academic overview and does not constitute legal or professional advice for specific audit engagements in Kuwait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Kuwait City: Navigating Regulatory Landscapes and Economic Diversification</dc:title>
  <dc:creator/>
  <dc:language>en</dc:language>
  <cp:keywords/>
  <dcterms:created xsi:type="dcterms:W3CDTF">2026-07-29T13:04:38Z</dcterms:created>
  <dcterms:modified xsi:type="dcterms:W3CDTF">2026-07-29T13:04:38Z</dcterms:modified>
</cp:coreProperties>
</file>

<file path=docProps/custom.xml><?xml version="1.0" encoding="utf-8"?>
<Properties xmlns="http://schemas.openxmlformats.org/officeDocument/2006/custom-properties" xmlns:vt="http://schemas.openxmlformats.org/officeDocument/2006/docPropsVTypes"/>
</file>