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d7f80ecb8af032c186444256fb6f5d0ea6a085c"/>
    <w:p>
      <w:pPr>
        <w:pStyle w:val="Heading1"/>
      </w:pPr>
      <w:r>
        <w:t xml:space="preserve">The Role and Challenges of the External Auditor in Contemporary Venezuela Caracas</w:t>
      </w:r>
    </w:p>
    <w:bookmarkStart w:id="26" w:name="X94dcb33aedc8d877d4d15ca99005ecf2d5df4a4"/>
    <w:p>
      <w:pPr>
        <w:pStyle w:val="Heading2"/>
      </w:pPr>
      <w:r>
        <w:t xml:space="preserve">A Research Paper on Regulatory Frameworks, Economic Realities, and Professional Standards</w:t>
      </w:r>
    </w:p>
    <w:p>
      <w:pPr>
        <w:pStyle w:val="FirstParagraph"/>
      </w:pPr>
      <w:r>
        <w:rPr>
          <w:bCs/>
          <w:b/>
        </w:rPr>
        <w:t xml:space="preserve">Date:</w:t>
      </w:r>
      <w:r>
        <w:t xml:space="preserve"> </w:t>
      </w:r>
      <w:r>
        <w:t xml:space="preserve">October 2023</w:t>
      </w:r>
      <w:r>
        <w:br/>
      </w:r>
      <w:r>
        <w:rPr>
          <w:bCs/>
          <w:b/>
        </w:rPr>
        <w:t xml:space="preserve">Jurisdiction:</w:t>
      </w:r>
      <w:r>
        <w:t xml:space="preserve">Venezuela Caracas</w:t>
      </w:r>
    </w:p>
    <w:bookmarkStart w:id="20" w:name="i.-introduction"/>
    <w:p>
      <w:pPr>
        <w:pStyle w:val="Heading3"/>
      </w:pPr>
      <w:r>
        <w:t xml:space="preserve">I. Introduction</w:t>
      </w:r>
    </w:p>
    <w:p>
      <w:pPr>
        <w:pStyle w:val="FirstParagraph"/>
      </w:pPr>
      <w:r>
        <w:t xml:space="preserve">In the complex economic landscape of Venezuela Caracas, the role of the external auditor transcends traditional financial verification. It serves as a critical pillar for corporate governance, regulatory compliance, and investor confidence amidst significant macroeconomic volatility. This research paper examines the multifaceted responsibilities of an Auditor operating within Venezuela Caracas today. The analysis focuses on the intersection between international accounting standards (NIIF/IFRS), national Venezuelan regulations, and the unique challenges posed by hyperinflationary environments and currency convertibility issues. As Venezuela Caracas continues to navigate its post-crisis economic reality, the need for robust, transparent, and ethical auditing practices has never been more pronounced.</w:t>
      </w:r>
    </w:p>
    <w:bookmarkEnd w:id="20"/>
    <w:bookmarkStart w:id="21" w:name="X0902517a018e69427510fb7418ec28d932c6ff5"/>
    <w:p>
      <w:pPr>
        <w:pStyle w:val="Heading3"/>
      </w:pPr>
      <w:r>
        <w:t xml:space="preserve">II. The Regulatory Framework in Venezuela Caracas</w:t>
      </w:r>
    </w:p>
    <w:p>
      <w:pPr>
        <w:pStyle w:val="FirstParagraph"/>
      </w:pPr>
      <w:r>
        <w:t xml:space="preserve">The practice of auditing in Venezuela Caracas is governed by a dual framework comprising national laws issued by the Superintendencia Nacional de Auditoría (SUNA) and international standards adopted through legislative decree. The Law on the National System of Accounting and Auditing establishes the mandatory nature of external audits for large corporations, financial institutions, and public entities. In Venezuela Caracas, auditors must possess specific certifications recognized by SUNA to legally issue audit reports that are valid for tax authorities (SENIAT) and commercial registries.</w:t>
      </w:r>
    </w:p>
    <w:p>
      <w:pPr>
        <w:pStyle w:val="BodyText"/>
      </w:pPr>
      <w:r>
        <w:t xml:space="preserve">Furthermore, the adoption of Normas Internacionales de Información Financiera (NIIF) by Venezuela Caracas has aligned local financial reporting with global best practices. However, the practical application of these standards in Venezuela Caracas presents unique challenges. Auditors must ensure that financial statements accurately reflect economic reality despite fluctuations in exchange rates and inflation adjustments required by Venezuelan tax law (ISLR). This creates a divergence between "financial income" as per NIIF and "fiscal income" as perceived by local authorities, requiring auditors to navigate complex reconciliations.</w:t>
      </w:r>
    </w:p>
    <w:bookmarkEnd w:id="21"/>
    <w:bookmarkStart w:id="22" w:name="Xf813ce1d16bd74d8dedc378275a75061189d3a7"/>
    <w:p>
      <w:pPr>
        <w:pStyle w:val="Heading3"/>
      </w:pPr>
      <w:r>
        <w:t xml:space="preserve">III. Economic Volatility and Accounting Challenges</w:t>
      </w:r>
    </w:p>
    <w:p>
      <w:pPr>
        <w:pStyle w:val="FirstParagraph"/>
      </w:pPr>
      <w:r>
        <w:t xml:space="preserve">The most significant challenge for an Auditor in Venezuela Caracas is managing financial statements in a high-inflationary environment. Under NIIF 29 (Financial Reporting in Hyperinflationary Economies), entities operating in Venezuela Caracas must restate their financials to reflect changes in the general purchasing power of the currency. For an auditor, this requires rigorous testing of inflation indices applied by management and verification that all non-monetary assets and liabilities have been correctly adjusted.</w:t>
      </w:r>
    </w:p>
    <w:p>
      <w:pPr>
        <w:pStyle w:val="BodyText"/>
      </w:pPr>
      <w:r>
        <w:t xml:space="preserve">Currency convertibility is another critical issue. The fragmentation of exchange rates in Venezuela Caracas—ranging from official government rates to parallel market rates (such as the SIECA or digital remittance services)—complicates the translation of foreign currency transactions. Auditors must determine which exchange rate represents "fair value" for specific assets and liabilities, often relying on independent market data sources. This subjectivity introduces a higher risk of material misstatement, demanding greater professional skepticism and extensive documentation from the Auditor.</w:t>
      </w:r>
    </w:p>
    <w:bookmarkEnd w:id="22"/>
    <w:bookmarkStart w:id="23" w:name="X4e3ddece6f68b395e7261b20e840687d4995518"/>
    <w:p>
      <w:pPr>
        <w:pStyle w:val="Heading3"/>
      </w:pPr>
      <w:r>
        <w:t xml:space="preserve">IV. The Impact of Digitalization on Auditing in Venezuela Caracas</w:t>
      </w:r>
    </w:p>
    <w:p>
      <w:pPr>
        <w:pStyle w:val="FirstParagraph"/>
      </w:pPr>
      <w:r>
        <w:t xml:space="preserve">In recent years, the tax administration in Venezuela Caracas has accelerated its digital transformation through systems like SIISE (Sistema Integral de Administración y Control de Sustancias Estupefacientes y Psicotrópicas) and electronic invoicing mandates. For modern auditors, this shift necessitates a move from traditional sample-based auditing to data analytics and continuous monitoring.</w:t>
      </w:r>
    </w:p>
    <w:p>
      <w:pPr>
        <w:pStyle w:val="BodyText"/>
      </w:pPr>
      <w:r>
        <w:t xml:space="preserve">Auditors in Venezuela Caracas must now possess technical competencies in software verification, ensuring that electronic invoices match the records held by SENIAT. The risk of discrepancies between physical records and digital tax reports has increased, requiring auditors to perform extensive substantive testing on revenue recognition cycles. Additionally, with many businesses operating across multiple currencies (Bolívares and US Dollars), auditing systems must support multi-currency accounting modules that accurately track gains and losses due to exchange rate variations.</w:t>
      </w:r>
    </w:p>
    <w:bookmarkEnd w:id="23"/>
    <w:bookmarkStart w:id="24" w:name="X77eae5f49612f6e00edb73687feab17aac98c54"/>
    <w:p>
      <w:pPr>
        <w:pStyle w:val="Heading3"/>
      </w:pPr>
      <w:r>
        <w:t xml:space="preserve">V. Ethical Considerations and Professional Skepticism</w:t>
      </w:r>
    </w:p>
    <w:p>
      <w:pPr>
        <w:pStyle w:val="FirstParagraph"/>
      </w:pPr>
      <w:r>
        <w:t xml:space="preserve">The ethical dimension of auditing in Venezuela Caracas is paramount. Auditors frequently face pressure from management to overlook irregularities or adjust valuations to meet tax obligations or secure financing. Given the opaque nature of some business practices during periods of economic crisis, maintaining independence is both a professional and legal obligation.</w:t>
      </w:r>
    </w:p>
    <w:p>
      <w:pPr>
        <w:pStyle w:val="BodyText"/>
      </w:pPr>
      <w:r>
        <w:t xml:space="preserve">The auditor must exercise heightened professional skepticism, particularly regarding related-party transactions and off-balance-sheet financing, which are common mechanisms used to obscure financial health in volatile markets. The auditor’s report in Venezuela Caracas must clearly disclose any limitations imposed by the environment or management that could affect the scope of the audit. Failure to do so can lead to severe legal consequences for both the accounting firm and the individual auditor under Venezuelan penal codes regarding fraud and money laundering.</w:t>
      </w:r>
    </w:p>
    <w:bookmarkEnd w:id="24"/>
    <w:bookmarkStart w:id="25" w:name="vi.-conclusion"/>
    <w:p>
      <w:pPr>
        <w:pStyle w:val="Heading3"/>
      </w:pPr>
      <w:r>
        <w:t xml:space="preserve">VI. Conclusion</w:t>
      </w:r>
    </w:p>
    <w:p>
      <w:pPr>
        <w:pStyle w:val="FirstParagraph"/>
      </w:pPr>
      <w:r>
        <w:t xml:space="preserve">The role of an Auditor in Venezuela Caracas is evolving from a simple verifier of numbers to a strategic advisor on compliance, risk management, and operational resilience. While the regulatory framework provides a structured path for financial transparency, the practical implementation is fraught with challenges related to inflation, currency fragmentation, and digital reporting complexities. For stakeholders relying on audited financial statements in Venezuela Caracas, understanding these nuances is essential. The future of auditing in this region depends on the ability of professionals to adapt to technological advancements while strictly adhering to ethical standards and international accounting principles. Only through rigorous, transparent, and technically sound auditing can confidence be restored in the Venezuelan corporate sector.</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2026-07-29T22:32:13Z</dcterms:created>
  <dcterms:modified xsi:type="dcterms:W3CDTF">2026-07-29T22:32:13Z</dcterms:modified>
</cp:coreProperties>
</file>

<file path=docProps/custom.xml><?xml version="1.0" encoding="utf-8"?>
<Properties xmlns="http://schemas.openxmlformats.org/officeDocument/2006/custom-properties" xmlns:vt="http://schemas.openxmlformats.org/officeDocument/2006/docPropsVTypes"/>
</file>