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856592519abcb7cd4d9844b788077c311413453"/>
    <w:p>
      <w:pPr>
        <w:pStyle w:val="Heading1"/>
      </w:pPr>
      <w:r>
        <w:t xml:space="preserve">The Strategic Evolution of Banking in China, Guangzhou:</w:t>
      </w:r>
    </w:p>
    <w:bookmarkStart w:id="20" w:name="X63ae0fcfdb76054b4e0c9888fb7e2301dba5473"/>
    <w:p>
      <w:pPr>
        <w:pStyle w:val="Heading2"/>
      </w:pPr>
      <w:r>
        <w:t xml:space="preserve">A Comprehensive Research Analysis on the Modern Banker</w:t>
      </w:r>
    </w:p>
    <w:p>
      <w:pPr>
        <w:pStyle w:val="FirstParagraph"/>
      </w:pPr>
      <w:r>
        <w:rPr>
          <w:bCs/>
          <w:b/>
        </w:rPr>
        <w:t xml:space="preserve">Abstract:</w:t>
      </w:r>
    </w:p>
    <w:p>
      <w:pPr>
        <w:pStyle w:val="BodyText"/>
      </w:pPr>
      <w:r>
        <w:t xml:space="preserve">This research paper examines the pivotal role of the modern banker within the dynamic economic landscape of China, specifically focusing on Guangzhou. As a historic treaty port and a contemporary hub for international trade, Guangzhou presents a unique case study for understanding how banking practices have evolved from traditional transactional services to sophisticated wealth management and digital financial ecosystems. The paper analyzes the impact of regulatory frameworks, technological disruption, and cross-border capital flows on banking operations in this southern Chinese metropolis.</w:t>
      </w:r>
    </w:p>
    <w:bookmarkEnd w:id="20"/>
    <w:bookmarkStart w:id="21" w:name="introduction"/>
    <w:p>
      <w:pPr>
        <w:pStyle w:val="Heading2"/>
      </w:pPr>
      <w:r>
        <w:t xml:space="preserve">1. Introduction</w:t>
      </w:r>
    </w:p>
    <w:p>
      <w:pPr>
        <w:pStyle w:val="FirstParagraph"/>
      </w:pPr>
      <w:r>
        <w:t xml:space="preserve">The concept of a "Banker" has undergone a profound transformation over the last three decades. Historically viewed primarily as custodians of capital and providers of credit, modern bankers are now expected to be strategic advisors, technology integrators, and navigators of complex geopolitical economic waters. Nowhere is this transition more evident than in China, particularly in Guangzhou. Located in the Guangdong Province, Guangzhou serves as the heart of the Greater Bay Area (GBA), a region often described as one of the most dynamic economic zones globally. To understand banking in this context, one must analyze not just financial mechanics, but also cultural heritage, rapid urbanization, and state-led economic policies.</w:t>
      </w:r>
    </w:p>
    <w:bookmarkEnd w:id="21"/>
    <w:bookmarkStart w:id="22" w:name="X9d2d006766de3962e4ed32d810a0de4ebe6b020"/>
    <w:p>
      <w:pPr>
        <w:pStyle w:val="Heading2"/>
      </w:pPr>
      <w:r>
        <w:t xml:space="preserve">2. Historical Context: From Canton System to Modern Hub</w:t>
      </w:r>
    </w:p>
    <w:p>
      <w:pPr>
        <w:pStyle w:val="FirstParagraph"/>
      </w:pPr>
      <w:r>
        <w:t xml:space="preserve">Guanzhou’s identity is deeply rooted in its history as the sole port of entry for Western trade during the Qing Dynasty’s Canton System. This historical precedent established a foundational culture of commerce and openness that persists today. For any</w:t>
      </w:r>
      <w:r>
        <w:t xml:space="preserve"> </w:t>
      </w:r>
      <w:r>
        <w:rPr>
          <w:bCs/>
          <w:b/>
        </w:rPr>
        <w:t xml:space="preserve">Banker</w:t>
      </w:r>
      <w:r>
        <w:t xml:space="preserve"> </w:t>
      </w:r>
      <w:r>
        <w:t xml:space="preserve">operating in this environment, understanding this legacy is crucial. The city was not merely a trading post but a gateway connecting China to the world economy.</w:t>
      </w:r>
    </w:p>
    <w:p>
      <w:pPr>
        <w:pStyle w:val="BodyText"/>
      </w:pPr>
      <w:r>
        <w:t xml:space="preserve">In the modern era, Guangzhou has leveraged its location to become a critical node in China’s Belt and Road Initiative (BRI). The influx of foreign direct investment (FDI) and the rise of local multinational corporations have necessitated a banking sector that is agile, internationally compliant, and technologically advanced. The traditional</w:t>
      </w:r>
      <w:r>
        <w:t xml:space="preserve"> </w:t>
      </w:r>
      <w:r>
        <w:rPr>
          <w:bCs/>
          <w:b/>
        </w:rPr>
        <w:t xml:space="preserve">Banker</w:t>
      </w:r>
      <w:r>
        <w:t xml:space="preserve"> </w:t>
      </w:r>
      <w:r>
        <w:t xml:space="preserve">model, reliant on personal relationships and physical presence, has been supplemented by robust digital platforms that facilitate seamless cross-border transactions between Guangzhou’s manufacturing hubs and global markets.</w:t>
      </w:r>
    </w:p>
    <w:bookmarkEnd w:id="22"/>
    <w:bookmarkStart w:id="23" w:name="X9412c3acc9b8611e11c66a8db2cec8715caf4ea"/>
    <w:p>
      <w:pPr>
        <w:pStyle w:val="Heading2"/>
      </w:pPr>
      <w:r>
        <w:t xml:space="preserve">3. The Role of the Banker in China’s Regulatory Environment</w:t>
      </w:r>
    </w:p>
    <w:p>
      <w:pPr>
        <w:pStyle w:val="FirstParagraph"/>
      </w:pPr>
      <w:r>
        <w:t xml:space="preserve">In</w:t>
      </w:r>
      <w:r>
        <w:t xml:space="preserve"> </w:t>
      </w:r>
      <w:r>
        <w:rPr>
          <w:bCs/>
          <w:b/>
        </w:rPr>
        <w:t xml:space="preserve">China</w:t>
      </w:r>
      <w:r>
        <w:t xml:space="preserve">, banking is not conducted in a vacuum; it operates under strict regulatory oversight from the People’s Bank of China (PBOC) and other financial authorities. For a</w:t>
      </w:r>
      <w:r>
        <w:t xml:space="preserve"> </w:t>
      </w:r>
      <w:r>
        <w:rPr>
          <w:bCs/>
          <w:b/>
        </w:rPr>
        <w:t xml:space="preserve">Banker</w:t>
      </w:r>
      <w:r>
        <w:t xml:space="preserve"> </w:t>
      </w:r>
      <w:r>
        <w:t xml:space="preserve">in Guangzhou, compliance is paramount. The regulatory landscape has shifted significantly towards strengthening systemic risk management and preventing financial fraud. This requires bankers to possess not only financial acumen but also a deep understanding of legal frameworks governing anti-money laundering (AML), know-your-customer (KYC) protocols, and capital adequacy ratios.</w:t>
      </w:r>
    </w:p>
    <w:p>
      <w:pPr>
        <w:pStyle w:val="BodyText"/>
      </w:pPr>
      <w:r>
        <w:t xml:space="preserve">Furthermore, the Chinese government’s emphasis on "Common Prosperity" has influenced banking strategies in Guangzhou. Bankers are increasingly tasked with directing capital towards socially beneficial projects, such as green finance, rural revitalization in the Pearl River Delta, and support for small-to-medium enterprises (SMEs). This shift demonstrates how a</w:t>
      </w:r>
      <w:r>
        <w:t xml:space="preserve"> </w:t>
      </w:r>
      <w:r>
        <w:rPr>
          <w:bCs/>
          <w:b/>
        </w:rPr>
        <w:t xml:space="preserve">Banker</w:t>
      </w:r>
      <w:r>
        <w:t xml:space="preserve"> </w:t>
      </w:r>
      <w:r>
        <w:t xml:space="preserve">acts not just as an profit-maximizer but as an instrument of national policy implementation.</w:t>
      </w:r>
    </w:p>
    <w:bookmarkEnd w:id="23"/>
    <w:bookmarkStart w:id="24" w:name="Xe85f741596b9d445e008fbba5d4532685840df9"/>
    <w:p>
      <w:pPr>
        <w:pStyle w:val="Heading2"/>
      </w:pPr>
      <w:r>
        <w:t xml:space="preserve">4. Technological Disruption and Fintech Integration</w:t>
      </w:r>
    </w:p>
    <w:p>
      <w:pPr>
        <w:pStyle w:val="FirstParagraph"/>
      </w:pPr>
      <w:r>
        <w:t xml:space="preserve">No discussion of modern banking in Guangzhou is complete without addressing the digital revolution. China is a global leader in fintech adoption, and Guangzhou has embraced this trend with vigor. The rise of mobile payments, blockchain technology for supply chain finance, and artificial intelligence for credit scoring has redefined the job description of a</w:t>
      </w:r>
      <w:r>
        <w:t xml:space="preserve"> </w:t>
      </w:r>
      <w:r>
        <w:rPr>
          <w:bCs/>
          <w:b/>
        </w:rPr>
        <w:t xml:space="preserve">Banker</w:t>
      </w:r>
      <w:r>
        <w:t xml:space="preserve">.</w:t>
      </w:r>
    </w:p>
    <w:p>
      <w:pPr>
        <w:pStyle w:val="BodyText"/>
      </w:pPr>
      <w:r>
        <w:t xml:space="preserve">In Guangzhou’s bustling commercial districts, traditional brick-and-mortar branches are being augmented by virtual banking services. A contemporary</w:t>
      </w:r>
      <w:r>
        <w:t xml:space="preserve"> </w:t>
      </w:r>
      <w:r>
        <w:rPr>
          <w:bCs/>
          <w:b/>
        </w:rPr>
        <w:t xml:space="preserve">Banker</w:t>
      </w:r>
      <w:r>
        <w:t xml:space="preserve"> </w:t>
      </w:r>
      <w:r>
        <w:t xml:space="preserve">must be proficient in data analytics to assess creditworthiness beyond traditional collateral. For instance, leveraging big data from e-commerce platforms operating out of Guangzhou allows bankers to provide instant loans to small vendors, a service that was previously unimaginable due to high administrative costs. This technological integration ensures that the banking sector remains competitive against non-bank financial institutions and foreign banks entering the Chinese market.</w:t>
      </w:r>
    </w:p>
    <w:bookmarkEnd w:id="24"/>
    <w:bookmarkStart w:id="25" w:name="Xed572df7dc2b5cde67245a56caa76c105410c76"/>
    <w:p>
      <w:pPr>
        <w:pStyle w:val="Heading2"/>
      </w:pPr>
      <w:r>
        <w:t xml:space="preserve">5. Cross-Border Finance and the Greater Bay Area</w:t>
      </w:r>
    </w:p>
    <w:p>
      <w:pPr>
        <w:pStyle w:val="FirstParagraph"/>
      </w:pPr>
      <w:r>
        <w:t xml:space="preserve">The strategic importance of Guangzhou is amplified by its role in the Greater Bay Area (GBA), which integrates Hong Kong, Macau, and nine cities in Guangdong Province. For a</w:t>
      </w:r>
      <w:r>
        <w:t xml:space="preserve"> </w:t>
      </w:r>
      <w:r>
        <w:rPr>
          <w:bCs/>
          <w:b/>
        </w:rPr>
        <w:t xml:space="preserve">Banker</w:t>
      </w:r>
      <w:r>
        <w:t xml:space="preserve">, this integration presents both opportunities and challenges. The free flow of capital between these jurisdictions requires sophisticated currency management and hedging strategies.</w:t>
      </w:r>
    </w:p>
    <w:p>
      <w:pPr>
        <w:pStyle w:val="BodyText"/>
      </w:pPr>
      <w:r>
        <w:t xml:space="preserve">Guangzhou’s banks play a crucial role in facilitating trade finance for the region’s export-oriented economy. Bankers must navigate the differences in legal systems (common law in Hong Kong vs. civil law in mainland China) and monetary policies. This complexity demands a new breed of</w:t>
      </w:r>
      <w:r>
        <w:t xml:space="preserve"> </w:t>
      </w:r>
      <w:r>
        <w:rPr>
          <w:bCs/>
          <w:b/>
        </w:rPr>
        <w:t xml:space="preserve">Banker</w:t>
      </w:r>
      <w:r>
        <w:t xml:space="preserve">: one who is multilingual, culturally sensitive, and skilled in international financial instruments. The ability to structure cross-border syndicated loans or issue bonds for GBA companies is a key competency for senior banking professionals in Guangzhou.</w:t>
      </w:r>
    </w:p>
    <w:bookmarkEnd w:id="25"/>
    <w:bookmarkStart w:id="26" w:name="challenges-facing-the-modern-banker"/>
    <w:p>
      <w:pPr>
        <w:pStyle w:val="Heading2"/>
      </w:pPr>
      <w:r>
        <w:t xml:space="preserve">6. Challenges Facing the Modern Banker</w:t>
      </w:r>
    </w:p>
    <w:p>
      <w:pPr>
        <w:pStyle w:val="FirstParagraph"/>
      </w:pPr>
      <w:r>
        <w:t xml:space="preserve">Despite its prosperity, the banking sector in Guangzhou faces significant headwinds. The post-pandemic economic recovery has been uneven, leading to concerns over non-performing loans (NPLs). A</w:t>
      </w:r>
      <w:r>
        <w:t xml:space="preserve"> </w:t>
      </w:r>
      <w:r>
        <w:rPr>
          <w:bCs/>
          <w:b/>
        </w:rPr>
        <w:t xml:space="preserve">Banker</w:t>
      </w:r>
      <w:r>
        <w:t xml:space="preserve"> </w:t>
      </w:r>
      <w:r>
        <w:t xml:space="preserve">today must exercise extreme caution in credit allocation, particularly in sectors like real estate which have historically driven growth but now pose systemic risks.</w:t>
      </w:r>
    </w:p>
    <w:p>
      <w:pPr>
        <w:pStyle w:val="BodyText"/>
      </w:pPr>
      <w:r>
        <w:t xml:space="preserve">Additionally, the intensification of global geopolitical tensions affects cross-border transactions. Sanctions regimes and trade barriers require bankers to implement rigorous screening processes. In Guangzhou, a major manufacturing hub, this means carefully vetting supply chains to ensure compliance with international standards while maintaining business relationships with overseas clients.</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Banker</w:t>
      </w:r>
      <w:r>
        <w:t xml:space="preserve"> </w:t>
      </w:r>
      <w:r>
        <w:t xml:space="preserve">in</w:t>
      </w:r>
      <w:r>
        <w:t xml:space="preserve"> </w:t>
      </w:r>
      <w:r>
        <w:rPr>
          <w:bCs/>
          <w:b/>
        </w:rPr>
        <w:t xml:space="preserve">China</w:t>
      </w:r>
      <w:r>
        <w:t xml:space="preserve">, specifically within the economic powerhouse of Guangzhou, is multifaceted and rapidly evolving. It requires a blend of traditional financial expertise, technological literacy, regulatory compliance knowledge, and strategic foresight. Guangzhou’s unique position as a historical trade gateway and a modern innovation hub creates a fertile ground for banking innovation.</w:t>
      </w:r>
    </w:p>
    <w:p>
      <w:pPr>
        <w:pStyle w:val="BodyText"/>
      </w:pPr>
      <w:r>
        <w:t xml:space="preserve">As we move forward, the success of banks in this region will depend on their ability to adapt to digital trends while adhering to national policy objectives. The</w:t>
      </w:r>
      <w:r>
        <w:t xml:space="preserve"> </w:t>
      </w:r>
      <w:r>
        <w:rPr>
          <w:bCs/>
          <w:b/>
        </w:rPr>
        <w:t xml:space="preserve">Banker</w:t>
      </w:r>
      <w:r>
        <w:t xml:space="preserve"> </w:t>
      </w:r>
      <w:r>
        <w:t xml:space="preserve">of the future in Guangzhou will not only manage assets but also foster sustainable economic growth, facilitate international trade, and ensure financial stability. This research paper underscores that banking is no longer just a service industry; it is a critical infrastructure supporting the broader narrative of China’s rise as a global economic leader.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Banking in China, Guangzhou: A Comprehensive Research Analysis</dc:title>
  <dc:creator/>
  <cp:keywords/>
  <dcterms:created xsi:type="dcterms:W3CDTF">2026-07-30T10:06:14Z</dcterms:created>
  <dcterms:modified xsi:type="dcterms:W3CDTF">2026-07-30T10:06:14Z</dcterms:modified>
</cp:coreProperties>
</file>

<file path=docProps/custom.xml><?xml version="1.0" encoding="utf-8"?>
<Properties xmlns="http://schemas.openxmlformats.org/officeDocument/2006/custom-properties" xmlns:vt="http://schemas.openxmlformats.org/officeDocument/2006/docPropsVTypes"/>
</file>