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Iran,</w:t>
      </w:r>
      <w:r>
        <w:t xml:space="preserve"> </w:t>
      </w:r>
      <w:r>
        <w:t xml:space="preserve">Tehran:</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7" w:name="Xe8b28ebf127e119d1a528cb920e2bd4a166b7ff"/>
    <w:p>
      <w:pPr>
        <w:pStyle w:val="Heading1"/>
      </w:pPr>
      <w:r>
        <w:t xml:space="preserve">The Role of the Banker in the Economic Landscape of Iran, Tehran:</w:t>
      </w:r>
      <w:r>
        <w:br/>
      </w:r>
      <w:r>
        <w:t xml:space="preserve">A Strategic Research Analysis</w:t>
      </w:r>
    </w:p>
    <w:p>
      <w:pPr>
        <w:pStyle w:val="FirstParagraph"/>
      </w:pPr>
      <w:r>
        <w:rPr>
          <w:bCs/>
          <w:b/>
        </w:rPr>
        <w:t xml:space="preserve">Abstract:</w:t>
      </w:r>
      <w:r>
        <w:br/>
      </w:r>
      <w:r>
        <w:t xml:space="preserve">This research paper examines the multifaceted role of the banker within the unique socio-economic and regulatory framework of Tehran, Iran. As a critical node in the nation's financial infrastructure, banking professionals in Iran operate at the intersection of traditional Islamic finance principles, state-controlled monetary policies, and global economic pressures. This study explores how bankers in Tehran navigate sanctions compliance, digital transformation, and customer trust while driving economic stability. The findings suggest that modern Iranian bankers serve not merely as intermediaries of capital but as strategic advisors essential for resilience in a volatile market environment.</w:t>
      </w:r>
    </w:p>
    <w:bookmarkStart w:id="20" w:name="introduction"/>
    <w:p>
      <w:pPr>
        <w:pStyle w:val="Heading2"/>
      </w:pPr>
      <w:r>
        <w:t xml:space="preserve">1. Introduction</w:t>
      </w:r>
    </w:p>
    <w:p>
      <w:pPr>
        <w:pStyle w:val="FirstParagraph"/>
      </w:pPr>
      <w:r>
        <w:t xml:space="preserve">The banking sector serves as the backbone of any modern economy, facilitating liquidity, managing risk, and fostering investment growth. In the context of Iran, and specifically its capital city Tehran, the role of the banker has evolved significantly over recent decades. Tehran stands as a bustling metropolis where traditional values meet rapid urbanization and technological advancement. Within this complex ecosystem, the banker is a pivotal figure who must possess not only financial acumen but also cultural intelligence and regulatory expertise.</w:t>
      </w:r>
    </w:p>
    <w:p>
      <w:pPr>
        <w:pStyle w:val="BodyText"/>
      </w:pPr>
      <w:r>
        <w:t xml:space="preserve">This paper aims to analyze the specific challenges and opportunities facing bankers in Iran, Tehran. It investigates how local banking institutions adapt to international sanctions, implement Sharia-compliant financial products, and respond to the digital demands of a youthful population. Understanding the banker's role in this region provides valuable insights into how emerging markets maintain financial stability amidst geopolitical uncertainty.</w:t>
      </w:r>
    </w:p>
    <w:bookmarkEnd w:id="20"/>
    <w:bookmarkStart w:id="21" w:name="X2d4ba30fbaa4abf216f8cfb37ff8f5d3ca25085"/>
    <w:p>
      <w:pPr>
        <w:pStyle w:val="Heading2"/>
      </w:pPr>
      <w:r>
        <w:t xml:space="preserve">2. The Regulatory Environment: Islamic Finance and State Control</w:t>
      </w:r>
    </w:p>
    <w:p>
      <w:pPr>
        <w:pStyle w:val="FirstParagraph"/>
      </w:pPr>
      <w:r>
        <w:t xml:space="preserve">To understand the banker in Iran, one must first understand the foundational principles governing their profession. Unlike conventional Western banking systems that rely heavily on interest-based transactions (Riba), Iranian banks operate under strict Islamic finance guidelines mandated by law since 1983. Consequently, bankers in Tehran are trained to structure financial products using profit-and-loss sharing models such as</w:t>
      </w:r>
      <w:r>
        <w:t xml:space="preserve"> </w:t>
      </w:r>
      <w:r>
        <w:rPr>
          <w:iCs/>
          <w:i/>
        </w:rPr>
        <w:t xml:space="preserve">Mudarabah</w:t>
      </w:r>
      <w:r>
        <w:t xml:space="preserve"> </w:t>
      </w:r>
      <w:r>
        <w:t xml:space="preserve">(profit-sharing) and</w:t>
      </w:r>
      <w:r>
        <w:t xml:space="preserve"> </w:t>
      </w:r>
      <w:r>
        <w:rPr>
          <w:iCs/>
          <w:i/>
        </w:rPr>
        <w:t xml:space="preserve">Musharakah</w:t>
      </w:r>
      <w:r>
        <w:t xml:space="preserve"> </w:t>
      </w:r>
      <w:r>
        <w:t xml:space="preserve">(joint venture).</w:t>
      </w:r>
    </w:p>
    <w:p>
      <w:pPr>
        <w:pStyle w:val="BodyText"/>
      </w:pPr>
      <w:r>
        <w:t xml:space="preserve">This requirement imposes a unique burden on the banker. They must possess a dual competence: rigorous understanding of modern financial risk assessment combined with deep knowledge of Fiqh al-Muamalat (Islamic jurisprudence of transactions). In Tehran, this means that bankers often collaborate closely with religious supervisory boards to ensure every loan, deposit, and investment product aligns with Sharia law. This regulatory framework distinguishes the Iranian banker from their global counterparts and necessitates a specialized skill set that integrates ethical considerations into core financial strategies.</w:t>
      </w:r>
    </w:p>
    <w:bookmarkEnd w:id="21"/>
    <w:bookmarkStart w:id="22" w:name="X70fbbfef44ab5ca45634a0f636eff545b8683f7"/>
    <w:p>
      <w:pPr>
        <w:pStyle w:val="Heading2"/>
      </w:pPr>
      <w:r>
        <w:t xml:space="preserve">3. Navigating Sanctions and International Isolation</w:t>
      </w:r>
    </w:p>
    <w:p>
      <w:pPr>
        <w:pStyle w:val="FirstParagraph"/>
      </w:pPr>
      <w:r>
        <w:t xml:space="preserve">A defining characteristic of banking in Tehran is the operational constraint imposed by international sanctions. For decades, banks in Iran have faced restrictions on access to global correspondent banking networks, SWIFT systems (partially), and foreign exchange markets. This isolation has forced bankers in Tehran to develop innovative mechanisms for cross-border transactions.</w:t>
      </w:r>
    </w:p>
    <w:p>
      <w:pPr>
        <w:pStyle w:val="BodyText"/>
      </w:pPr>
      <w:r>
        <w:t xml:space="preserve">In this environment, the banker acts as a strategic navigator of compliance and alternative trade routes. They must utilize local clearinghouses, barter arrangements with neighboring countries such as Iraq, Turkey, and China, and increasingly cryptocurrencies or digital assets where permitted by domestic regulation. The research indicates that Iranian bankers have developed a high level of resilience and creativity in structuring deals that bypass international barriers while maintaining legal integrity under domestic law. However, this also increases the operational risk profile of their institutions.</w:t>
      </w:r>
    </w:p>
    <w:bookmarkEnd w:id="22"/>
    <w:bookmarkStart w:id="23" w:name="X61f2c0a79ed62af57fffb89796e011c855d38cc"/>
    <w:p>
      <w:pPr>
        <w:pStyle w:val="Heading2"/>
      </w:pPr>
      <w:r>
        <w:t xml:space="preserve">4. Digital Transformation and Financial Inclusion</w:t>
      </w:r>
    </w:p>
    <w:p>
      <w:pPr>
        <w:pStyle w:val="FirstParagraph"/>
      </w:pPr>
      <w:r>
        <w:t xml:space="preserve">Tehran is experiencing a rapid digital revolution. With a population that is largely young and tech-savvy, there is immense pressure on traditional banks to modernize their service delivery. The role of the banker has consequently shifted from manual transaction processing to advisory services and digital interface management.</w:t>
      </w:r>
    </w:p>
    <w:p>
      <w:pPr>
        <w:pStyle w:val="BodyText"/>
      </w:pPr>
      <w:r>
        <w:t xml:space="preserve">In Tehran, mobile banking applications have seen exponential growth. Bankers are now expected to guide customers through digital onboarding processes, manage online fraud risks, and promote fintech solutions integrated with traditional banking infrastructure. Research shows that branches in Tehran are increasingly transforming into consultation centers rather than mere transaction points. This shift requires bankers to upskill continuously, learning about cybersecurity, data analytics, and user experience design.</w:t>
      </w:r>
    </w:p>
    <w:p>
      <w:pPr>
        <w:pStyle w:val="BodyText"/>
      </w:pPr>
      <w:r>
        <w:t xml:space="preserve">Furthermore digitalization has played a crucial role in financial inclusion. Bankers in Tehran have been instrumental in bringing unbanked populations into the formal economy through micro-lending initiatives supported by mobile platforms. This expansion helps stabilize local economies by providing credit to small businesses and entrepreneurs who might otherwise be excluded from traditional financing channels.</w:t>
      </w:r>
    </w:p>
    <w:bookmarkEnd w:id="23"/>
    <w:bookmarkStart w:id="24" w:name="X592de098af590dffc8c899af58097f2bcbdd619"/>
    <w:p>
      <w:pPr>
        <w:pStyle w:val="Heading2"/>
      </w:pPr>
      <w:r>
        <w:t xml:space="preserve">5. Socio-Economic Stability and Trust Building</w:t>
      </w:r>
    </w:p>
    <w:p>
      <w:pPr>
        <w:pStyle w:val="FirstParagraph"/>
      </w:pPr>
      <w:r>
        <w:t xml:space="preserve">In an economy characterized by high inflation rates and currency fluctuation, the role of the banker extends beyond profit maximization to include stability maintenance. In Tehran, trust is a scarce commodity in financial institutions due to historical economic volatilities. Bankers bear the responsibility of reassuring depositors about the safety of their funds.</w:t>
      </w:r>
    </w:p>
    <w:p>
      <w:pPr>
        <w:pStyle w:val="BodyText"/>
      </w:pPr>
      <w:r>
        <w:t xml:space="preserve">This involves transparent communication regarding bank solvency, effective management of foreign exchange reserves within local regulations, and offering inflation-hedging investment products. Iranian bankers often act as educators, helping clients understand how to protect their wealth through diversified portfolios that may include gold, real estate guidance (within legal limits), and long-term savings plans.</w:t>
      </w:r>
    </w:p>
    <w:p>
      <w:pPr>
        <w:pStyle w:val="BodyText"/>
      </w:pPr>
      <w:r>
        <w:t xml:space="preserve">The social aspect of banking in Tehran is also significant. Many banks operate under the umbrella of state-owned enterprises or have strong ties to government entities. Therefore, bankers must align their lending practices with national development goals, such as supporting agricultural sectors, technology startups, and infrastructure projects outlined in Iran's development plans.</w:t>
      </w:r>
    </w:p>
    <w:bookmarkEnd w:id="24"/>
    <w:bookmarkStart w:id="25" w:name="X4b88cb04d76a3bd093348b7888eb4ddb5b478d0"/>
    <w:p>
      <w:pPr>
        <w:pStyle w:val="Heading2"/>
      </w:pPr>
      <w:r>
        <w:t xml:space="preserve">6. Challenges Facing the Modern Banker in Tehran</w:t>
      </w:r>
    </w:p>
    <w:p>
      <w:pPr>
        <w:pStyle w:val="FirstParagraph"/>
      </w:pPr>
      <w:r>
        <w:t xml:space="preserve">Despite advancements, bankers in Iran face substantial challenges. First is the brain drain; many skilled financial professionals seek opportunities abroad due to economic pressures. This creates a talent gap that existing bankers must fill, often requiring intensive training programs.</w:t>
      </w:r>
    </w:p>
    <w:p>
      <w:pPr>
        <w:pStyle w:val="BodyText"/>
      </w:pPr>
      <w:r>
        <w:t xml:space="preserve">Secondly, bureaucracy remains a significant hurdle. Despite digital efforts, many procedures in Tehran's banks still involve extensive paperwork and approval chains, slowing down service delivery. Bankers spend considerable time ensuring compliance with both internal risk protocols and external government directives.</w:t>
      </w:r>
    </w:p>
    <w:p>
      <w:pPr>
        <w:pStyle w:val="BodyText"/>
      </w:pPr>
      <w:r>
        <w:t xml:space="preserve">Last but not least is the psychological pressure of managing client expectations during periods of economic uncertainty. When the Rial fluctuates significantly, bankers must communicate difficult truths about purchasing power erosion while maintaining customer loyalty.</w:t>
      </w:r>
    </w:p>
    <w:bookmarkEnd w:id="25"/>
    <w:bookmarkStart w:id="26" w:name="conclusion"/>
    <w:p>
      <w:pPr>
        <w:pStyle w:val="Heading2"/>
      </w:pPr>
      <w:r>
        <w:t xml:space="preserve">7. Conclusion</w:t>
      </w:r>
    </w:p>
    <w:p>
      <w:pPr>
        <w:pStyle w:val="FirstParagraph"/>
      </w:pPr>
      <w:r>
        <w:t xml:space="preserve">The banker in Iran, Tehran, occupies a complex and critical position within the national economy. Far from being mere administrators of money, they are strategic actors who navigate a web of Islamic financial principles, geopolitical sanctions, and rapid technological change. Their ability to adapt to these pressures determines not only the success of individual banking institutions but also contributes to the broader economic stability of Tehran.</w:t>
      </w:r>
    </w:p>
    <w:p>
      <w:pPr>
        <w:pStyle w:val="BodyText"/>
      </w:pPr>
      <w:r>
        <w:t xml:space="preserve">Future research should focus on the long-term impact of potential diplomatic resolutions on Iranian banking practices and how further integration into global fintech trends might reshape the profession. However, it remains clear that for bankers in Tehran, success requires a unique blend of traditional wisdom, regulatory vigilance, and innovative thinking. As Iran continues to evolve economically, the role of the banker will remain central to fostering sustainable growth and financial resilience.</w:t>
      </w:r>
    </w:p>
    <w:p>
      <w:pPr>
        <w:pStyle w:val="BodyText"/>
      </w:pPr>
      <w:r>
        <w:rPr>
          <w:bCs/>
          <w:b/>
        </w:rPr>
        <w:t xml:space="preserve">References:</w:t>
      </w:r>
      <w:r>
        <w:br/>
      </w:r>
      <w:r>
        <w:t xml:space="preserve">1. Central Bank of Islamic Republic of Iran. (2023). *Annual Report on Banking Statistics*.</w:t>
      </w:r>
      <w:r>
        <w:br/>
      </w:r>
      <w:r>
        <w:t xml:space="preserve">2. Noghedi, H., &amp; Rezaei, M. (2021). "The Impact of Sanctions on the Iranian Banking Sector."</w:t>
      </w:r>
      <w:r>
        <w:t xml:space="preserve"> </w:t>
      </w:r>
      <w:r>
        <w:rPr>
          <w:iCs/>
          <w:i/>
        </w:rPr>
        <w:t xml:space="preserve">Journal of Economic Studies</w:t>
      </w:r>
      <w:r>
        <w:t xml:space="preserve">.</w:t>
      </w:r>
      <w:r>
        <w:br/>
      </w:r>
      <w:r>
        <w:t xml:space="preserve">3. World Bank Group. (2022). *Iran Economic Monitor: Navigating Inflation and Growth*.</w:t>
      </w:r>
      <w:r>
        <w:br/>
      </w:r>
      <w:r>
        <w:t xml:space="preserve">4. Tehran Chamber of Commerce, Industries, Mines and Agriculture. (2023). *Market Overview for Foreign Investors*.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Economic Landscape of Iran, Tehran: A Strategic Research Analysis</dc:title>
  <dc:creator/>
  <dc:language>en</dc:language>
  <cp:keywords/>
  <dcterms:created xsi:type="dcterms:W3CDTF">2026-07-29T16:00:48Z</dcterms:created>
  <dcterms:modified xsi:type="dcterms:W3CDTF">2026-07-29T16:00:48Z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