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Kuwait</w:t>
      </w:r>
      <w:r>
        <w:t xml:space="preserve"> </w:t>
      </w:r>
      <w:r>
        <w:t xml:space="preserve">City</w:t>
      </w:r>
    </w:p>
    <w:bookmarkStart w:id="30" w:name="X3c23370e91a8dad1116998d1b610c24af3eb2d9"/>
    <w:p>
      <w:pPr>
        <w:pStyle w:val="Heading1"/>
      </w:pPr>
      <w:r>
        <w:t xml:space="preserve">The Evolution and Strategic Role of Bankers in Kuwait City</w:t>
      </w:r>
    </w:p>
    <w:p>
      <w:pPr>
        <w:pStyle w:val="FirstParagraph"/>
      </w:pPr>
      <w:r>
        <w:rPr>
          <w:bCs/>
          <w:b/>
        </w:rPr>
        <w:t xml:space="preserve">Date:</w:t>
      </w:r>
      <w:r>
        <w:t xml:space="preserve"> </w:t>
      </w:r>
      <w:r>
        <w:t xml:space="preserve">May 24, 2024</w:t>
      </w:r>
      <w:r>
        <w:br/>
      </w:r>
    </w:p>
    <w:p>
      <w:pPr>
        <w:pStyle w:val="BodyText"/>
      </w:pPr>
      <w:r>
        <w:t xml:space="preserve">Distribution:: Open Access Academic Journal</w:t>
      </w:r>
      <w:r>
        <w:br/>
      </w:r>
    </w:p>
    <w:p>
      <w:pPr>
        <w:pStyle w:val="BodyText"/>
      </w:pPr>
      <w:r>
        <w:t xml:space="preserve">Jurisdiction:: State of Kuwait, specifically the capital region.</w:t>
      </w:r>
    </w:p>
    <w:bookmarkStart w:id="20" w:name="abstract"/>
    <w:p>
      <w:pPr>
        <w:pStyle w:val="Heading3"/>
      </w:pPr>
      <w:r>
        <w:t xml:space="preserve">Abstract</w:t>
      </w:r>
    </w:p>
    <w:p>
      <w:pPr>
        <w:pStyle w:val="FirstParagraph"/>
      </w:pPr>
      <w:r>
        <w:t xml:space="preserve">This research paper analyzes the pivotal role of bankers within the economic ecosystem of Kuwait City. As the financial heart of a nation historically defined by hydrocarbon wealth and visionary diversification strategies, Kuwait City serves as a unique case study for modern banking practices in the Gulf region. This document explores how bankers operate not merely as custodians of capital, but as strategic architects of national development. It examines the intersection of traditional Islamic finance principles with contemporary global banking standards, regulatory frameworks under the Central Bank of Kuwait (CBK), and the socio-economic impacts on Kuwait City’s urban development.</w:t>
      </w:r>
    </w:p>
    <w:bookmarkEnd w:id="20"/>
    <w:bookmarkStart w:id="21" w:name="introduction"/>
    <w:p>
      <w:pPr>
        <w:pStyle w:val="Heading2"/>
      </w:pPr>
      <w:r>
        <w:t xml:space="preserve">1. Introduction</w:t>
      </w:r>
    </w:p>
    <w:p>
      <w:pPr>
        <w:pStyle w:val="FirstParagraph"/>
      </w:pPr>
      <w:r>
        <w:t xml:space="preserve">The financial landscape of a nation is inextricably linked to its capital city. In the context of this research,</w:t>
      </w:r>
      <w:r>
        <w:t xml:space="preserve"> </w:t>
      </w:r>
      <w:r>
        <w:rPr>
          <w:bCs/>
          <w:b/>
        </w:rPr>
        <w:t xml:space="preserve">Kuwait City</w:t>
      </w:r>
      <w:r>
        <w:t xml:space="preserve"> </w:t>
      </w:r>
      <w:r>
        <w:t xml:space="preserve">stands as the epicenter where monetary policy meets market reality. The profession of the</w:t>
      </w:r>
      <w:r>
        <w:t xml:space="preserve"> </w:t>
      </w:r>
      <w:r>
        <w:rPr>
          <w:bCs/>
          <w:b/>
        </w:rPr>
        <w:t xml:space="preserve">Banker</w:t>
      </w:r>
      <w:r>
        <w:t xml:space="preserve">, often perceived through a lens of globalized abstract finance, takes on a distinct local character within this specific geographic and cultural boundary. This paper argues that bankers in Kuwait City are critical agents of transition, tasked with balancing the preservation of sovereign wealth with the urgent need for private sector growth and diversification away from oil dependency.</w:t>
      </w:r>
    </w:p>
    <w:p>
      <w:pPr>
        <w:pStyle w:val="BodyText"/>
      </w:pPr>
      <w:r>
        <w:t xml:space="preserve">The</w:t>
      </w:r>
      <w:r>
        <w:t xml:space="preserve"> </w:t>
      </w:r>
      <w:r>
        <w:rPr>
          <w:bCs/>
          <w:b/>
        </w:rPr>
        <w:t xml:space="preserve">Research Paper</w:t>
      </w:r>
      <w:r>
        <w:t xml:space="preserve"> </w:t>
      </w:r>
      <w:r>
        <w:t xml:space="preserve">aims to dissect these dynamics by analyzing historical precedents, current operational challenges, and future projections for the banking sector in Kuwait City. By focusing on this triad—the profession of banking, the city itself as a financial hub, and the academic rigor required to understand their interaction—we gain insight into how emerging markets navigate the complexities of modern capitalism while adhering to cultural values.</w:t>
      </w:r>
    </w:p>
    <w:bookmarkEnd w:id="21"/>
    <w:bookmarkStart w:id="22" w:name="X9fa94c589c31131380e0175761cb14caa71cfd8"/>
    <w:p>
      <w:pPr>
        <w:pStyle w:val="Heading2"/>
      </w:pPr>
      <w:r>
        <w:t xml:space="preserve">2. Historical Context: From Trade Hub to Financial Center</w:t>
      </w:r>
    </w:p>
    <w:p>
      <w:pPr>
        <w:pStyle w:val="FirstParagraph"/>
      </w:pPr>
      <w:r>
        <w:t xml:space="preserve">To understand the current role of bankers in</w:t>
      </w:r>
      <w:r>
        <w:t xml:space="preserve"> </w:t>
      </w:r>
      <w:r>
        <w:rPr>
          <w:bCs/>
          <w:b/>
        </w:rPr>
        <w:t xml:space="preserve">Kuwait City</w:t>
      </w:r>
      <w:r>
        <w:t xml:space="preserve">, one must appreciate its historical trajectory. Historically, Kuwait was a maritime trade hub connecting India, Africa, and Europe. The early banking systems were rudimentary, based on trust networks and informal credit mechanisms among merchant families. However, following independence in 1961 and the subsequent discovery of vast oil reserves the city transformed rapidly.</w:t>
      </w:r>
    </w:p>
    <w:p>
      <w:pPr>
        <w:pStyle w:val="BodyText"/>
      </w:pPr>
      <w:r>
        <w:t xml:space="preserve">The establishment of formal banking institutions in Kuwait City during the 1960s marked a shift from traditional trade to modern financial intermediation. Early bankers were tasked with managing sovereign wealth, funding infrastructure projects, and stabilizing currency pegs. This historical foundation established a culture of stability and conservatism among local</w:t>
      </w:r>
      <w:r>
        <w:t xml:space="preserve"> </w:t>
      </w:r>
      <w:r>
        <w:rPr>
          <w:bCs/>
          <w:b/>
        </w:rPr>
        <w:t xml:space="preserve">Bankers</w:t>
      </w:r>
      <w:r>
        <w:t xml:space="preserve">, distinguishing them from their more aggressive counterparts in global financial centers like New York or London. The identity of the Kuwaiti banker has long been associated with prudence and long-term stewardship rather than short-term speculation.</w:t>
      </w:r>
    </w:p>
    <w:bookmarkEnd w:id="22"/>
    <w:bookmarkStart w:id="23" w:name="X37de75efd24fdca4d227cf8a61f5c2d13791e63"/>
    <w:p>
      <w:pPr>
        <w:pStyle w:val="Heading2"/>
      </w:pPr>
      <w:r>
        <w:t xml:space="preserve">3. The Regulatory Framework and the Central Bank of Kuwait</w:t>
      </w:r>
    </w:p>
    <w:p>
      <w:pPr>
        <w:pStyle w:val="FirstParagraph"/>
      </w:pPr>
      <w:r>
        <w:t xml:space="preserve">The operations of bankers within</w:t>
      </w:r>
      <w:r>
        <w:t xml:space="preserve"> </w:t>
      </w:r>
      <w:r>
        <w:rPr>
          <w:bCs/>
          <w:b/>
        </w:rPr>
        <w:t xml:space="preserve">Kuwait City</w:t>
      </w:r>
      <w:r>
        <w:t xml:space="preserve"> </w:t>
      </w:r>
      <w:r>
        <w:t xml:space="preserve">are heavily influenced by the regulatory environment overseen by the Central Bank of Kuwait (CBK). In this</w:t>
      </w:r>
      <w:r>
        <w:t xml:space="preserve"> </w:t>
      </w:r>
      <w:r>
        <w:rPr>
          <w:bCs/>
          <w:b/>
        </w:rPr>
        <w:t xml:space="preserve">Research Paper</w:t>
      </w:r>
      <w:r>
        <w:t xml:space="preserve">, it is evident that CBK policies play a decisive role in shaping banking behavior. The regulator has consistently emphasized capital adequacy ratios, liquidity management, and risk mitigation protocols.</w:t>
      </w:r>
    </w:p>
    <w:p>
      <w:pPr>
        <w:pStyle w:val="BodyText"/>
      </w:pPr>
      <w:r>
        <w:t xml:space="preserve">A unique aspect of banking in Kuwait City is the robust integration of Islamic Finance. Bankers here must be proficient in both conventional and Sharia-compliant financial products. This duality requires a high level of technical expertise and ethical rigor. The presence of specialized Sharia boards within local banks ensures that all financial activities align with Islamic principles, such as the prohibition of Riba (interest) and Gharar (excessive uncertainty). Consequently, bankers in Kuwait City are not only financial analysts but also religious compliance officers, a dual role that adds complexity and depth to their professional responsibilities.</w:t>
      </w:r>
    </w:p>
    <w:bookmarkEnd w:id="23"/>
    <w:bookmarkStart w:id="24" w:name="Xd3171ddc23c453e7fcf3fdac852a2b2ee7a13ff"/>
    <w:p>
      <w:pPr>
        <w:pStyle w:val="Heading2"/>
      </w:pPr>
      <w:r>
        <w:t xml:space="preserve">4. Economic Diversification and the Role of Bankers</w:t>
      </w:r>
    </w:p>
    <w:p>
      <w:pPr>
        <w:pStyle w:val="FirstParagraph"/>
      </w:pPr>
      <w:r>
        <w:t xml:space="preserve">A central theme in contemporary economic discourse in</w:t>
      </w:r>
      <w:r>
        <w:t xml:space="preserve"> </w:t>
      </w:r>
      <w:r>
        <w:rPr>
          <w:bCs/>
          <w:b/>
        </w:rPr>
        <w:t xml:space="preserve">Kuwait City</w:t>
      </w:r>
      <w:r>
        <w:t xml:space="preserve"> </w:t>
      </w:r>
      <w:r>
        <w:t xml:space="preserve">is diversification. Recognizing the volatility of oil markets, the Kuwaiti government has launched various initiatives to stimulate non-oil sectors, including tourism, logistics, technology, and small-to-medium enterprises (SMEs).</w:t>
      </w:r>
    </w:p>
    <w:p>
      <w:pPr>
        <w:pStyle w:val="BodyText"/>
      </w:pPr>
      <w:r>
        <w:t xml:space="preserve">In this context, the role of the</w:t>
      </w:r>
      <w:r>
        <w:t xml:space="preserve"> </w:t>
      </w:r>
      <w:r>
        <w:rPr>
          <w:bCs/>
          <w:b/>
        </w:rPr>
        <w:t xml:space="preserve">Banker</w:t>
      </w:r>
      <w:r>
        <w:t xml:space="preserve"> </w:t>
      </w:r>
      <w:r>
        <w:t xml:space="preserve">has evolved from passive wealth management to active economic partnership. Local banks in Kuwait City are increasingly providing venture capital financing and project finance for startups and infrastructure developments. However, this transition is not without challenges. The culture of risk aversion mentioned earlier can sometimes hinder aggressive lending to innovative but unproven business models.</w:t>
      </w:r>
    </w:p>
    <w:p>
      <w:pPr>
        <w:pStyle w:val="BodyText"/>
      </w:pPr>
      <w:r>
        <w:t xml:space="preserve">This</w:t>
      </w:r>
      <w:r>
        <w:t xml:space="preserve"> </w:t>
      </w:r>
      <w:r>
        <w:rPr>
          <w:bCs/>
          <w:b/>
        </w:rPr>
        <w:t xml:space="preserve">Research Paper</w:t>
      </w:r>
      <w:r>
        <w:t xml:space="preserve"> </w:t>
      </w:r>
      <w:r>
        <w:t xml:space="preserve">highlights a critical tension: the need for bankers to adopt more agile lending practices while maintaining the strict solvency standards mandated by regulators and desired by depositors. Successful bankers in Kuwait City are those who can navigate this tension, utilizing data analytics and risk assessment tools to identify viable opportunities in the non-oil sector without compromising financial stability.</w:t>
      </w:r>
    </w:p>
    <w:bookmarkEnd w:id="24"/>
    <w:bookmarkStart w:id="25" w:name="Xbc1d47106519f80c3edd7c27af21b4cf818660a"/>
    <w:p>
      <w:pPr>
        <w:pStyle w:val="Heading2"/>
      </w:pPr>
      <w:r>
        <w:t xml:space="preserve">5. Digital Transformation and Fintech Integration</w:t>
      </w:r>
    </w:p>
    <w:p>
      <w:pPr>
        <w:pStyle w:val="FirstParagraph"/>
      </w:pPr>
      <w:r>
        <w:t xml:space="preserve">The recent past has seen a surge in digital banking services across</w:t>
      </w:r>
      <w:r>
        <w:t xml:space="preserve"> </w:t>
      </w:r>
      <w:r>
        <w:rPr>
          <w:bCs/>
          <w:b/>
        </w:rPr>
        <w:t xml:space="preserve">Kuwait City</w:t>
      </w:r>
      <w:r>
        <w:t xml:space="preserve">. The proliferation of smartphones and high internet penetration rates has compelled traditional bankers to adapt rapidly. Mobile banking applications, online investment platforms, and digital payment solutions have become standard offerings.</w:t>
      </w:r>
    </w:p>
    <w:p>
      <w:pPr>
        <w:pStyle w:val="BodyText"/>
      </w:pPr>
      <w:r>
        <w:t xml:space="preserve">This digital shift poses both opportunities and threats. For the individual</w:t>
      </w:r>
      <w:r>
        <w:t xml:space="preserve"> </w:t>
      </w:r>
      <w:r>
        <w:rPr>
          <w:bCs/>
          <w:b/>
        </w:rPr>
        <w:t xml:space="preserve">Banker</w:t>
      </w:r>
      <w:r>
        <w:t xml:space="preserve">, it means a shift in daily operations from transactional processing to advisory services. As routine tasks are automated, bankers must focus on higher-value activities such as wealth management, corporate strategy consulting, and financial planning for high-net-worth individuals. Furthermore, the rise of FinTech companies challenging traditional banking models has forced established banks in Kuwait City to innovate or partner with technology providers. The modern banker in this city is increasingly tech-savvy, required to understand blockchain potential, cybersecurity threats, and user experience design.</w:t>
      </w:r>
    </w:p>
    <w:bookmarkEnd w:id="25"/>
    <w:bookmarkStart w:id="26" w:name="socio-economic-impact-on-kuwait-city"/>
    <w:p>
      <w:pPr>
        <w:pStyle w:val="Heading2"/>
      </w:pPr>
      <w:r>
        <w:t xml:space="preserve">6. Socio-Economic Impact on Kuwait City</w:t>
      </w:r>
    </w:p>
    <w:p>
      <w:pPr>
        <w:pStyle w:val="FirstParagraph"/>
      </w:pPr>
      <w:r>
        <w:t xml:space="preserve">The influence of banking extends beyond balance sheets; it shapes the urban fabric of</w:t>
      </w:r>
      <w:r>
        <w:t xml:space="preserve"> </w:t>
      </w:r>
      <w:r>
        <w:rPr>
          <w:bCs/>
          <w:b/>
        </w:rPr>
        <w:t xml:space="preserve">Kuwait City</w:t>
      </w:r>
      <w:r>
        <w:t xml:space="preserve">. Major banks are often headquartered in prominent districts such as Sharq and Downtown, contributing to the architectural skyline and real estate values. The liquidity provided by these institutions fuels construction projects, shopping malls, and residential complexes.</w:t>
      </w:r>
    </w:p>
    <w:p>
      <w:pPr>
        <w:pStyle w:val="BodyText"/>
      </w:pPr>
      <w:r>
        <w:t xml:space="preserve">Moreover, bankers play a social role through corporate social responsibility (CSR) initiatives. In Kuwait City, banking institutions frequently sponsor educational programs, healthcare facilities, and cultural events. This engagement reinforces the social contract between financial institutions and the community they serve. The</w:t>
      </w:r>
      <w:r>
        <w:t xml:space="preserve"> </w:t>
      </w:r>
      <w:r>
        <w:rPr>
          <w:bCs/>
          <w:b/>
        </w:rPr>
        <w:t xml:space="preserve">Research Paper</w:t>
      </w:r>
      <w:r>
        <w:t xml:space="preserve"> </w:t>
      </w:r>
      <w:r>
        <w:t xml:space="preserve">notes that public perception of banks in Kuwait is heavily influenced by their contributions to societal welfare as much as by their financial returns.</w:t>
      </w:r>
    </w:p>
    <w:bookmarkEnd w:id="26"/>
    <w:bookmarkStart w:id="27" w:name="challenges-and-future-outlook"/>
    <w:p>
      <w:pPr>
        <w:pStyle w:val="Heading2"/>
      </w:pPr>
      <w:r>
        <w:t xml:space="preserve">7. Challenges and Future Outlook</w:t>
      </w:r>
    </w:p>
    <w:p>
      <w:pPr>
        <w:pStyle w:val="FirstParagraph"/>
      </w:pPr>
      <w:r>
        <w:t xml:space="preserve">Despite its strengths, the banking sector in</w:t>
      </w:r>
      <w:r>
        <w:t xml:space="preserve"> </w:t>
      </w:r>
      <w:r>
        <w:rPr>
          <w:bCs/>
          <w:b/>
        </w:rPr>
        <w:t xml:space="preserve">Kuwait City</w:t>
      </w:r>
      <w:r>
        <w:rPr>
          <w:bCs/>
          <w:b/>
        </w:rPr>
        <w:t xml:space="preserve">Banker</w:t>
      </w:r>
      <w:r>
        <w:t xml:space="preserve">s face several hurdles. Global economic uncertainty, fluctuating oil prices, and geopolitical tensions in the broader region impact investor confidence domestically. Additionally, there is an ongoing challenge regarding youth unemployment and the need for banks to support job-creating enterprises.</w:t>
      </w:r>
    </w:p>
    <w:p>
      <w:pPr>
        <w:pStyle w:val="BodyText"/>
      </w:pPr>
      <w:r>
        <w:t xml:space="preserve">Looking forward, the role of</w:t>
      </w:r>
      <w:r>
        <w:t xml:space="preserve"> </w:t>
      </w:r>
      <w:r>
        <w:rPr>
          <w:bCs/>
          <w:b/>
        </w:rPr>
        <w:t xml:space="preserve">Banker</w:t>
      </w:r>
      <w:r>
        <w:t xml:space="preserve">s will likely expand into sustainable finance (Green Banking). As global attention shifts toward climate change, Kuwait City’s banks are expected to develop green bonds and sustainability-linked loans. This aligns with Kuwait Vision 2035 (New Kuwait), which emphasizes environmental sustainability alongside economic prosperity.</w:t>
      </w:r>
    </w:p>
    <w:bookmarkEnd w:id="27"/>
    <w:bookmarkStart w:id="28" w:name="conclusion"/>
    <w:p>
      <w:pPr>
        <w:pStyle w:val="Heading2"/>
      </w:pPr>
      <w:r>
        <w:t xml:space="preserve">8. Conclusion</w:t>
      </w:r>
    </w:p>
    <w:p>
      <w:pPr>
        <w:pStyle w:val="FirstParagraph"/>
      </w:pPr>
      <w:r>
        <w:t xml:space="preserve">In conclusion, this</w:t>
      </w:r>
      <w:r>
        <w:t xml:space="preserve"> </w:t>
      </w:r>
      <w:r>
        <w:rPr>
          <w:bCs/>
          <w:b/>
        </w:rPr>
        <w:t xml:space="preserve">Research Paper</w:t>
      </w:r>
      <w:r>
        <w:rPr>
          <w:bCs/>
          <w:b/>
        </w:rPr>
        <w:t xml:space="preserve">Banker</w:t>
      </w:r>
      <w:r>
        <w:t xml:space="preserve">s in</w:t>
      </w:r>
      <w:r>
        <w:t xml:space="preserve"> </w:t>
      </w:r>
      <w:r>
        <w:rPr>
          <w:bCs/>
          <w:b/>
        </w:rPr>
        <w:t xml:space="preserve">Kuwait City</w:t>
      </w:r>
      <w:r>
        <w:t xml:space="preserve">. They are guardians of national wealth, facilitators of diversification, and adapters to technological change. The unique blend of Islamic finance principles and modern banking techniques creates a distinct professional identity for bankers in this region.</w:t>
      </w:r>
    </w:p>
    <w:p>
      <w:pPr>
        <w:pStyle w:val="BodyText"/>
      </w:pPr>
      <w:r>
        <w:t xml:space="preserve">As Kuwait City continues to evolve into a diversified economic hub, the demands on bankers will intensify. They must be agile enough to embrace digital transformation yet prudent enough to preserve financial stability. The success of Kuwait’s economic future is closely tied to the competence and adaptability of its banking sector. Therefore, continuous professional development, regulatory support, and strategic innovation are essential for</w:t>
      </w:r>
      <w:r>
        <w:t xml:space="preserve"> </w:t>
      </w:r>
      <w:r>
        <w:rPr>
          <w:bCs/>
          <w:b/>
        </w:rPr>
        <w:t xml:space="preserve">Banker</w:t>
      </w:r>
      <w:r>
        <w:t xml:space="preserve">s operating in</w:t>
      </w:r>
      <w:r>
        <w:t xml:space="preserve"> </w:t>
      </w:r>
      <w:r>
        <w:rPr>
          <w:bCs/>
          <w:b/>
        </w:rPr>
        <w:t xml:space="preserve">Kuwait City</w:t>
      </w:r>
      <w:r>
        <w:t xml:space="preserve"> </w:t>
      </w:r>
      <w:r>
        <w:t xml:space="preserve">to fulfill their vital role in shaping the nation’s prosperity.</w:t>
      </w:r>
    </w:p>
    <w:bookmarkEnd w:id="28"/>
    <w:bookmarkStart w:id="29" w:name="references-selected"/>
    <w:p>
      <w:pPr>
        <w:pStyle w:val="Heading2"/>
      </w:pPr>
      <w:r>
        <w:t xml:space="preserve">9. References (Selected)</w:t>
      </w:r>
    </w:p>
    <w:p>
      <w:pPr>
        <w:pStyle w:val="FirstParagraph"/>
      </w:pPr>
      <w:r>
        <w:t xml:space="preserve">- Central Bank of Kuwait. (2023). Annual Statistical Bulletin.</w:t>
      </w:r>
      <w:r>
        <w:br/>
      </w:r>
      <w:r>
        <w:t xml:space="preserve">- Kuwait National Development Plan: New Kuwait 2035.</w:t>
      </w:r>
      <w:r>
        <w:br/>
      </w:r>
      <w:r>
        <w:t xml:space="preserve">- International Monetary Fund. (2024). Article IV Consultation with the State of Kuwait.</w:t>
      </w:r>
      <w:r>
        <w:br/>
      </w:r>
      <w:r>
        <w:t xml:space="preserve">- Journal of Islamic Banking and Finance, Regional Studies on Gulf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Role of Bankers in Kuwait City</dc:title>
  <dc:creator/>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file>