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526df66cde815b04ae4818ac36efa5fa047ff4"/>
    <w:p>
      <w:pPr>
        <w:pStyle w:val="Heading1"/>
      </w:pPr>
      <w:r>
        <w:t xml:space="preserve">The Evolution of the Banker in the Digital Era: A Strategic Analysis of Financial Services in Malaysia Kuala Lumpur</w:t>
      </w:r>
    </w:p>
    <w:p>
      <w:pPr>
        <w:pStyle w:val="FirstParagraph"/>
      </w:pPr>
      <w:r>
        <w:rPr>
          <w:bCs/>
          <w:b/>
        </w:rPr>
        <w:t xml:space="preserve">Abstract:</w:t>
      </w:r>
      <w:r>
        <w:t xml:space="preserve"> </w:t>
      </w:r>
      <w:r>
        <w:t xml:space="preserve">This research paper examines the transformative role of the banker within the dynamic financial ecosystem of Malaysia Kuala Lumpur. As a global hub for Islamic finance and a rapidly digitizing economy, the capital city presents a unique case study for understanding how traditional banking roles are being redefined. The document explores the impact of FinTech adoption, regulatory frameworks under Bank Negara Malaysia, and shifting consumer behaviors on professional bankers operating in this specific geographic context.</w:t>
      </w:r>
    </w:p>
    <w:bookmarkStart w:id="20" w:name="introduction"/>
    <w:p>
      <w:pPr>
        <w:pStyle w:val="Heading2"/>
      </w:pPr>
      <w:r>
        <w:t xml:space="preserve">1. Introduction</w:t>
      </w:r>
    </w:p>
    <w:p>
      <w:pPr>
        <w:pStyle w:val="FirstParagraph"/>
      </w:pPr>
      <w:r>
        <w:t xml:space="preserve">The concept of the</w:t>
      </w:r>
      <w:r>
        <w:t xml:space="preserve"> </w:t>
      </w:r>
      <w:r>
        <w:rPr>
          <w:bCs/>
          <w:b/>
        </w:rPr>
        <w:t xml:space="preserve">Banker</w:t>
      </w:r>
      <w:r>
        <w:t xml:space="preserve"> </w:t>
      </w:r>
      <w:r>
        <w:t xml:space="preserve">has undergone a profound metamorphosis over the past two decades. Historically viewed merely as custodians of capital and providers of loans, modern bankers are now expected to serve as financial advisors, technology integrators, and strategic partners to their clients. This shift is particularly pronounced in Malaysia Kuala Lumpur, which serves not only as the economic heart of Malaysia but also as a regional center for international trade and Islamic finance. The convergence of advanced telecommunications infrastructure in the capital city with robust regulatory oversight creates a fertile ground for innovation. This paper aims to analyze how bankers operating within Malaysia Kuala Lumpur are adapting to these pressures and opportunities, ensuring that their services remain relevant in an increasingly digital-first world.</w:t>
      </w:r>
    </w:p>
    <w:bookmarkEnd w:id="20"/>
    <w:bookmarkStart w:id="21" w:name="X72d314ae99f972f89c37353e34e4bf156428c3d"/>
    <w:p>
      <w:pPr>
        <w:pStyle w:val="Heading2"/>
      </w:pPr>
      <w:r>
        <w:t xml:space="preserve">2. The Regulatory Landscape: Bank Negara Malaysia’s Influence</w:t>
      </w:r>
    </w:p>
    <w:p>
      <w:pPr>
        <w:pStyle w:val="FirstParagraph"/>
      </w:pPr>
      <w:r>
        <w:t xml:space="preserve">To understand the role of the banker today, one must first appreciate the regulatory environment that governs them. In Malaysia Kuala Lumpur, Bank Negara Malaysia (BNM) plays a pivotal role in shaping banking practices. Unlike other jurisdictions where deregulation may be more prevalent, BNM maintains a cautious yet progressive approach to financial innovation. For instance, the introduction of the Financial Technology Roadmap has compelled bankers in Kuala Lumpur to collaborate closely with technology providers.</w:t>
      </w:r>
    </w:p>
    <w:p>
      <w:pPr>
        <w:pStyle w:val="BodyText"/>
      </w:pPr>
      <w:r>
        <w:t xml:space="preserve">This regulatory framework ensures that while banks innovate through digital apps and automated credit scoring systems, they also adhere to strict anti-money laundering (AML) and know-your-customer (KYC) protocols. Consequently, the banker’s role has expanded to include rigorous compliance monitoring. A professional banker in Malaysia Kuala Lumpur is no longer just selling products; they are acting as a first line of defense against financial crimes, requiring a deep understanding of both legal statutes and technological tools used to detect anomalies.</w:t>
      </w:r>
    </w:p>
    <w:bookmarkEnd w:id="21"/>
    <w:bookmarkStart w:id="22" w:name="the-rise-of-islamic-finance"/>
    <w:p>
      <w:pPr>
        <w:pStyle w:val="Heading2"/>
      </w:pPr>
      <w:r>
        <w:t xml:space="preserve">3. The Rise of Islamic Finance</w:t>
      </w:r>
    </w:p>
    <w:p>
      <w:pPr>
        <w:pStyle w:val="FirstParagraph"/>
      </w:pPr>
      <w:r>
        <w:t xml:space="preserve">A unique characteristic distinguishing the banking sector in Malaysia Kuala Lumpur from many Western counterparts is the prominence of Islamic finance. As the global hub for Sharia-compliant banking, Kuala Lumpur hosts major institutions dedicated to this financial model. For bankers operating here, proficiency in Islamic finance principles (Maqasid Shariah) is often a prerequisite.</w:t>
      </w:r>
    </w:p>
    <w:p>
      <w:pPr>
        <w:pStyle w:val="BodyText"/>
      </w:pPr>
      <w:r>
        <w:t xml:space="preserve">The banker must possess specialized knowledge regarding products such as Murabaha (cost-plus financing), Ijara (leasing), and Sukuk (Islamic bonds). This specialization adds a layer of complexity to the banker’s role. They must not only assess financial viability but also ensure religious compliance. In Malaysia Kuala Lumpur, this dual requirement creates a niche market for highly specialized bankers who can bridge the gap between traditional financial metrics and ethical Shariah principles. This specialization enhances the value proposition of local banks on the international stage, attracting foreign investors seeking Islamic investment vehicles.</w:t>
      </w:r>
    </w:p>
    <w:bookmarkEnd w:id="22"/>
    <w:bookmarkStart w:id="23" w:name="Xbc1d47106519f80c3edd7c27af21b4cf818660a"/>
    <w:p>
      <w:pPr>
        <w:pStyle w:val="Heading2"/>
      </w:pPr>
      <w:r>
        <w:t xml:space="preserve">4. Digital Transformation and FinTech Integration</w:t>
      </w:r>
    </w:p>
    <w:p>
      <w:pPr>
        <w:pStyle w:val="FirstParagraph"/>
      </w:pPr>
      <w:r>
        <w:t xml:space="preserve">The physical branches in Malaysia Kuala Lumpur are becoming fewer in number as customers migrate to mobile platforms. However, this does not diminish the importance of the banker; rather, it shifts their function from transactional processing to relationship management and advisory services. In this new paradigm, digital tools handle routine queries and transfers, freeing up bankers to focus on complex financial planning for high-net-worth individuals and corporate clients.</w:t>
      </w:r>
    </w:p>
    <w:p>
      <w:pPr>
        <w:pStyle w:val="BodyText"/>
      </w:pPr>
      <w:r>
        <w:t xml:space="preserve">Furthermore, Malaysian banks in Kuala Lumpur are actively partnering with FinTech startups. These partnerships require bankers to possess a certain level of technological literacy. They must understand how artificial intelligence (AI) algorithms assess credit risk or how blockchain technology can streamline cross-border payments. The banker in Malaysia Kuala Lumpur is thus becoming a hybrid professional: part financial expert, part tech-savvy consultant. This evolution is crucial for maintaining competitiveness against pure-play digital banks that have entered the Malaysian market.</w:t>
      </w:r>
    </w:p>
    <w:bookmarkEnd w:id="23"/>
    <w:bookmarkStart w:id="24" w:name="Xaf5df8642387a52785ce1997b593fe49c553fd6"/>
    <w:p>
      <w:pPr>
        <w:pStyle w:val="Heading2"/>
      </w:pPr>
      <w:r>
        <w:t xml:space="preserve">5. Consumer Behavior and the Demand for Personalization</w:t>
      </w:r>
    </w:p>
    <w:p>
      <w:pPr>
        <w:pStyle w:val="FirstParagraph"/>
      </w:pPr>
      <w:r>
        <w:t xml:space="preserve">In the bustling environment of Malaysia Kuala Lumpur, consumers are increasingly demanding personalized financial experiences. The one-size-fits-all approach of traditional banking is obsolete. Modern bankers are leveraging big data analytics to tailor products to individual customer needs. Whether it is a young professional in Mont Kiara looking for student loans and investment apps, or a business owner in Bukit Bintang seeking supply chain financing, the banker’s role involves curating specific solutions.</w:t>
      </w:r>
    </w:p>
    <w:p>
      <w:pPr>
        <w:pStyle w:val="BodyText"/>
      </w:pPr>
      <w:r>
        <w:t xml:space="preserve">This personalization extends to communication methods. Bankers are expected to be accessible through multiple channels, including WhatsApp Business APIs and secure banking portals. The expectation of immediacy in Kuala Lumpur is high due to the city’s fast-paced lifestyle. Therefore, bankers must manage customer expectations efficiently, ensuring that while automation handles speed, human intervention is available for empathy and complex problem-solving.</w:t>
      </w:r>
    </w:p>
    <w:bookmarkEnd w:id="24"/>
    <w:bookmarkStart w:id="25" w:name="X8321fd0d19367ebe822493568533dbbc9db292e"/>
    <w:p>
      <w:pPr>
        <w:pStyle w:val="Heading2"/>
      </w:pPr>
      <w:r>
        <w:t xml:space="preserve">6. Challenges Facing Bankers in Malaysia Kuala Lumpur</w:t>
      </w:r>
    </w:p>
    <w:p>
      <w:pPr>
        <w:pStyle w:val="FirstParagraph"/>
      </w:pPr>
      <w:r>
        <w:t xml:space="preserve">Despite the opportunities, bankers in Malaysia Kuala Lumpur face significant challenges. Cybersecurity remains a paramount concern. As digital adoption increases, so does the risk of fraud and data breaches. Bankers must be vigilant and continuously educated on the latest cyber threats.</w:t>
      </w:r>
    </w:p>
    <w:p>
      <w:pPr>
        <w:pStyle w:val="BodyText"/>
      </w:pPr>
      <w:r>
        <w:t xml:space="preserve">Additionally, there is a talent gap in the industry. While there are many graduates with financial degrees, there is a shortage of individuals who combine financial acumen with digital skills. Banks in Kuala Lumpur are investing heavily in upskilling their workforce to address this gap. Continuous professional development is now a core component of being a banker in this region.</w:t>
      </w:r>
    </w:p>
    <w:bookmarkEnd w:id="25"/>
    <w:bookmarkStart w:id="26" w:name="conclusion"/>
    <w:p>
      <w:pPr>
        <w:pStyle w:val="Heading2"/>
      </w:pPr>
      <w:r>
        <w:t xml:space="preserve">7. Conclusion</w:t>
      </w:r>
    </w:p>
    <w:p>
      <w:pPr>
        <w:pStyle w:val="FirstParagraph"/>
      </w:pPr>
      <w:r>
        <w:t xml:space="preserve">In conclusion, the role of the banker in Malaysia Kuala Lumpur is evolving from traditional custodianship to becoming strategic digital advisors and compliance experts. The unique blend of Islamic finance leadership, robust regulatory support from Bank Negara Malaysia, and rapid technological adoption defines this transformation. As Kuala Lumpur continues to assert its position as a global financial hub, the modern banker must remain agile, knowledgeable in both Shariah principles and FinTech innovations. The future of banking in this region depends on the ability of professionals to harness technology while maintaining the human touch that builds trust. For institutions operating in Malaysia Kuala Lumpur, investing in their human capital is as critical as investing in software infrastructure. The synergy between skilled bankers and advanced digital platforms will determine the resilience and growth of the financial sector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2026-07-29T17:21:53Z</dcterms:created>
  <dcterms:modified xsi:type="dcterms:W3CDTF">2026-07-29T17:21:53Z</dcterms:modified>
</cp:coreProperties>
</file>

<file path=docProps/custom.xml><?xml version="1.0" encoding="utf-8"?>
<Properties xmlns="http://schemas.openxmlformats.org/officeDocument/2006/custom-properties" xmlns:vt="http://schemas.openxmlformats.org/officeDocument/2006/docPropsVTypes"/>
</file>