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Qatar</w:t>
      </w:r>
      <w:r>
        <w:t xml:space="preserve"> </w:t>
      </w:r>
      <w:r>
        <w:t xml:space="preserve">Doha</w:t>
      </w:r>
    </w:p>
    <w:bookmarkStart w:id="27" w:name="X79dd5f5a16b5767f7d6fc6723b3524c8adc6f25"/>
    <w:p>
      <w:pPr>
        <w:pStyle w:val="Heading1"/>
      </w:pPr>
      <w:r>
        <w:t xml:space="preserve">The Evolving Role of the Banker in the Economic Landscape of Qatar Doha</w:t>
      </w:r>
    </w:p>
    <w:p>
      <w:pPr>
        <w:pStyle w:val="FirstParagraph"/>
      </w:pPr>
      <w:r>
        <w:rPr>
          <w:bCs/>
          <w:b/>
        </w:rPr>
        <w:t xml:space="preserve">A Research Paper on Financial Strategy, Islamic Compliance, and Digital Transformation</w:t>
      </w:r>
    </w:p>
    <w:p>
      <w:r>
        <w:pict>
          <v:rect style="width:0;height:1.5pt" o:hralign="center" o:hrstd="t" o:hr="t"/>
        </w:pict>
      </w:r>
    </w:p>
    <w:bookmarkStart w:id="20" w:name="i.-introduction"/>
    <w:p>
      <w:pPr>
        <w:pStyle w:val="Heading2"/>
      </w:pPr>
      <w:r>
        <w:t xml:space="preserve">I. Introduction</w:t>
      </w:r>
    </w:p>
    <w:p>
      <w:pPr>
        <w:pStyle w:val="FirstParagraph"/>
      </w:pPr>
      <w:r>
        <w:t xml:space="preserve">In recent decades, the global financial landscape has undergone a seismic shift characterized by rapid technological advancement, regulatory tightening, and a growing emphasis on sustainable development. Nowhere is this transformation more palpable than in Qatar Doha, a city that has emerged as one of the most dynamic financial hubs in the Middle East. At the heart of this economic evolution lies the figure of the banker. No longer confined to traditional transactions involving cash deposits and loans, today’s banker operates at a complex intersection of global capital flows, indigenous cultural values, and cutting-edge technological infrastructure.</w:t>
      </w:r>
    </w:p>
    <w:p>
      <w:pPr>
        <w:pStyle w:val="BodyText"/>
      </w:pPr>
      <w:r>
        <w:t xml:space="preserve">This research paper explores the multifaceted role of the Banker within Qatar Doha. It examines how these financial professionals navigate the unique challenges posed by the nation’s Vision 2030 framework, adhere to stringent Islamic finance principles, and leverage digital innovation to serve a diverse population. By analyzing these dynamics, we gain insight into how banking in Qatar Doha is not merely a service industry but a critical engine driving national prosperity and global connectivity.</w:t>
      </w:r>
    </w:p>
    <w:bookmarkEnd w:id="20"/>
    <w:bookmarkStart w:id="21" w:name="X0ddaa383a4d02740cf9392ac6c91728aa039fd6"/>
    <w:p>
      <w:pPr>
        <w:pStyle w:val="Heading2"/>
      </w:pPr>
      <w:r>
        <w:t xml:space="preserve">II. The Strategic Alignment with Qatar National Vision 2030</w:t>
      </w:r>
    </w:p>
    <w:p>
      <w:pPr>
        <w:pStyle w:val="FirstParagraph"/>
      </w:pPr>
      <w:r>
        <w:t xml:space="preserve">To understand the contemporary Banker in Qatar Doha, one must first contextualize their role within the broader strategic goals of the state. The Qatar National Vision 2030 (QNV 2030) serves as the blueprint for developing human, social, and economic resources to achieve sustainable development and improve quality of life. For bankers operating in this environment, professional duties are intrinsically linked to national policy objectives.</w:t>
      </w:r>
    </w:p>
    <w:p>
      <w:pPr>
        <w:pStyle w:val="BodyText"/>
      </w:pPr>
      <w:r>
        <w:t xml:space="preserve">The primary objective of QNV 2030 is economic diversification away from hydrocarbon dependency toward knowledge-based industries. Consequently, Bankers in Qatar Doha have pivoted their focus toward funding sectors such as education, healthcare, technology, and tourism. Rather than simply financing oil and gas projects—which remain the backbone of the economy—modern bankers are tasked with structuring complex financial instruments that support small and medium-sized enterprises (SMEs) in non-energy sectors. This strategic pivot requires a high degree of analytical sophistication and risk assessment capability.</w:t>
      </w:r>
    </w:p>
    <w:p>
      <w:pPr>
        <w:pStyle w:val="BodyText"/>
      </w:pPr>
      <w:r>
        <w:t xml:space="preserve">Furthermore, Qatar Doha aims to position itself as a global hub for trade and logistics. Bankers facilitate this ambition by managing foreign exchange operations, providing trade finance solutions, and establishing correspondent banking relationships with international institutions. In this capacity, the banker acts as a bridge between local enterprises and global markets, ensuring that capital flows efficiently to support Qatar’s geographic advantage as an international transit center.</w:t>
      </w:r>
    </w:p>
    <w:bookmarkEnd w:id="21"/>
    <w:bookmarkStart w:id="22" w:name="X6bea2e1ae88537a40b1c8e296167a37007ed8ea"/>
    <w:p>
      <w:pPr>
        <w:pStyle w:val="Heading2"/>
      </w:pPr>
      <w:r>
        <w:t xml:space="preserve">III. The Imperative of Islamic Finance Compliance</w:t>
      </w:r>
    </w:p>
    <w:p>
      <w:pPr>
        <w:pStyle w:val="FirstParagraph"/>
      </w:pPr>
      <w:r>
        <w:t xml:space="preserve">A defining characteristic of banking in Qatar Doha is the prominence of Islamic finance. As a Muslim-majority nation, Qatar adheres strictly to Sharia law, which prohibits the charging or paying of interest (Riba) and requires investments to be ethically sound. For a Banker working in this jurisdiction, mastery of Islamic financial products is not optional; it is a fundamental professional competency.</w:t>
      </w:r>
    </w:p>
    <w:p>
      <w:pPr>
        <w:pStyle w:val="BodyText"/>
      </w:pPr>
      <w:r>
        <w:t xml:space="preserve">The role of the Islamic Banker differs significantly from that of a conventional banker. Instead of lending money at interest, the Islamic Banker engages in profit-and-loss sharing arrangements or asset-backed financing. Common instruments include Murabaha (cost-plus financing), Ijara (leasing), and Sukuk (Islamic bonds). In Qatar Doha, the issuance and management of Sukuk have become a major area of activity, with Qatari banks playing a leading role in global sovereign and corporate bond markets.</w:t>
      </w:r>
    </w:p>
    <w:p>
      <w:pPr>
        <w:pStyle w:val="BodyText"/>
      </w:pPr>
      <w:r>
        <w:t xml:space="preserve">Bankers must ensure that every transaction undergoes rigorous Sharia review by independent boards within their institutions. This adds a layer of compliance complexity that requires constant education and adaptation. The banker must not only understand the legal frameworks but also the theological nuances to ensure authenticity. This dual expertise—financial acumen combined with religious compliance—makes Qatari bankers uniquely positioned to serve clients across both Islamic and conventional financial ecosystems, particularly given the growing interest in ethical finance worldwide.</w:t>
      </w:r>
    </w:p>
    <w:bookmarkEnd w:id="22"/>
    <w:bookmarkStart w:id="23" w:name="X74d6debfed4274160b248cc0f2ada9a57b0dced"/>
    <w:p>
      <w:pPr>
        <w:pStyle w:val="Heading2"/>
      </w:pPr>
      <w:r>
        <w:t xml:space="preserve">IV. Digital Transformation and Fintech Integration</w:t>
      </w:r>
    </w:p>
    <w:p>
      <w:pPr>
        <w:pStyle w:val="FirstParagraph"/>
      </w:pPr>
      <w:r>
        <w:t xml:space="preserve">The third pillar of the modern banker’s role in Qatar Doha is digital transformation. The banking sector in Qatar has seen rapid adoption of fintech solutions, driven by a highly educated, tech-savvy population and supportive government regulations. The Central Bank of Qatar has been proactive in promoting digital innovation through its Regulatory Sandbox initiative, allowing banks to test new technologies without the full burden of immediate regulatory compliance.</w:t>
      </w:r>
    </w:p>
    <w:p>
      <w:pPr>
        <w:pStyle w:val="BodyText"/>
      </w:pPr>
      <w:r>
        <w:t xml:space="preserve">For the banker in this era, technical literacy is paramount. Mobile banking apps, blockchain-based settlement systems, and artificial intelligence-driven credit scoring models are now standard tools. The traditional branch visit is increasingly supplemented by digital interactions. Bankers must therefore evolve into digital consultants who can guide corporate and retail clients through cloud-based treasury management systems and cybersecurity protocols.</w:t>
      </w:r>
    </w:p>
    <w:bookmarkEnd w:id="23"/>
    <w:bookmarkStart w:id="24" w:name="v.-sustainability-and-esg-integration"/>
    <w:p>
      <w:pPr>
        <w:pStyle w:val="Heading2"/>
      </w:pPr>
      <w:r>
        <w:t xml:space="preserve">V. Sustainability and ESG Integration</w:t>
      </w:r>
    </w:p>
    <w:p>
      <w:pPr>
        <w:pStyle w:val="FirstParagraph"/>
      </w:pPr>
      <w:r>
        <w:t xml:space="preserve">Environmental, Social, and Governance (ESG) criteria are becoming central to banking decisions globally, and Qatar Doha is no exception. The Qatar Financial Centre (QFC) has introduced guidelines for sustainable finance, encouraging banks to incorporate ESG factors into their risk management processes. Bankers in this region are increasingly tasked with evaluating the sustainability profile of borrowers.</w:t>
      </w:r>
    </w:p>
    <w:p>
      <w:pPr>
        <w:pStyle w:val="BodyText"/>
      </w:pPr>
      <w:r>
        <w:t xml:space="preserve">This includes financing renewable energy projects, such as solar and nuclear power initiatives aligned with Qatar’s carbon neutrality goals. It also involves assessing social impacts, such as labor practices in construction projects or community engagement programs. For the banker, integrating ESG metrics into credit analysis is no longer just a reputational exercise but a risk mitigation strategy. Climate-related financial risks are being priced into loans, and green bonds are gaining traction among institutional investors in Doha.</w:t>
      </w:r>
    </w:p>
    <w:bookmarkEnd w:id="24"/>
    <w:bookmarkStart w:id="26" w:name="vi.-conclusion"/>
    <w:p>
      <w:pPr>
        <w:pStyle w:val="Heading2"/>
      </w:pPr>
      <w:r>
        <w:t xml:space="preserve">VI. Conclusion</w:t>
      </w:r>
    </w:p>
    <w:p>
      <w:pPr>
        <w:pStyle w:val="FirstParagraph"/>
      </w:pPr>
      <w:r>
        <w:t xml:space="preserve">In conclusion, the role of the Banker in Qatar Doha is profoundly complex and multifaceted. It requires a synthesis of traditional financial expertise, deep understanding of Islamic principles, proficiency in digital technologies, and a commitment to sustainable development. As Qatar continues to diversify its economy and strengthen its position on the global stage through initiatives like QNV 2030, the banker will remain a pivotal figure in this transformation.</w:t>
      </w:r>
    </w:p>
    <w:p>
      <w:pPr>
        <w:pStyle w:val="BodyText"/>
      </w:pPr>
      <w:r>
        <w:t xml:space="preserve">The challenges ahead—including geopolitical volatility, cyber security threats, and the rapid pace of fintech disruption—are significant. However, they also present opportunities for innovation. By embracing their role as strategic partners to national development and ethical stewards of capital, bankers in Qatar Doha are not only securing financial stability for their institutions but also contributing to the broader prosperity and resilience of Qatari society.</w:t>
      </w:r>
    </w:p>
    <w:p>
      <w:pPr>
        <w:pStyle w:val="BodyText"/>
      </w:pPr>
      <w:r>
        <w:t xml:space="preserve">As the world watches Qatar’s emergence as a post-FIFA World Cup leader in infrastructure and finance, it is clear that the modern banker is more than a custodian of wealth; they are architects of a sustainable, inclusive, and technologically advanced future for Qatar Doha.</w:t>
      </w:r>
    </w:p>
    <w:p>
      <w:r>
        <w:pict>
          <v:rect style="width:0;height:1.5pt" o:hralign="center" o:hrstd="t" o:hr="t"/>
        </w:pict>
      </w:r>
    </w:p>
    <w:bookmarkStart w:id="25" w:name="references"/>
    <w:p>
      <w:pPr>
        <w:pStyle w:val="Heading3"/>
      </w:pPr>
      <w:r>
        <w:t xml:space="preserve">References</w:t>
      </w:r>
    </w:p>
    <w:p>
      <w:pPr>
        <w:pStyle w:val="FirstParagraph"/>
      </w:pPr>
      <w:r>
        <w:t xml:space="preserve">1. Ministry of Planning and Statistics Qatar. (2024). "Qatar National Vision 2030: Progress Report." Doha: Government Publishing Services.</w:t>
      </w:r>
      <w:r>
        <w:br/>
      </w:r>
      <w:r>
        <w:t xml:space="preserve">2. Central Bank of Qatar. (2023). "Annual Statistical Bulletin." Doha: CBO Publications.</w:t>
      </w:r>
      <w:r>
        <w:br/>
      </w:r>
      <w:r>
        <w:t xml:space="preserve">3. Islamic Financial Services Board (IFSB). (2024). "Global State of the Islamic Banking Industry Report."</w:t>
      </w:r>
      <w:r>
        <w:br/>
      </w:r>
      <w:r>
        <w:t xml:space="preserve">4. Qatar Financial Centre Authority. (2023). "Sustainable Finance Framework Guidelines."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Economic Landscape of Qatar Doha</dc:title>
  <dc:creator/>
  <dc:language>en</dc:language>
  <cp:keywords/>
  <dcterms:created xsi:type="dcterms:W3CDTF">2026-07-29T15:06:14Z</dcterms:created>
  <dcterms:modified xsi:type="dcterms:W3CDTF">2026-07-29T15:06:14Z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