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bookmarkStart w:id="36" w:name="Xf14d474e61c461fff778af7bdedb52533a138e8"/>
    <w:p>
      <w:pPr>
        <w:pStyle w:val="Heading1"/>
      </w:pPr>
      <w:r>
        <w:t xml:space="preserve">The Evolution and Strategic Role of the Banker in Saudi Arabia Riyadh</w:t>
      </w:r>
    </w:p>
    <w:p>
      <w:pPr>
        <w:pStyle w:val="FirstParagraph"/>
      </w:pPr>
      <w:r>
        <w:t xml:space="preserve">A Research Paper on Financial Modernization, Regulatory Compliance, and Economic Diversification</w:t>
      </w:r>
    </w:p>
    <w:p>
      <w:pPr>
        <w:pStyle w:val="BodyText"/>
      </w:pPr>
      <w:r>
        <w:rPr>
          <w:bCs/>
          <w:b/>
        </w:rPr>
        <w:t xml:space="preserve">Abstract:</w:t>
      </w:r>
      <w:r>
        <w:br/>
      </w:r>
      <w:r>
        <w:t xml:space="preserve">This research paper analyzes the multifaceted role of the Banker within the Kingdom of Saudi Arabia. Centered specifically in Riyadh, the economic capital, this study explores how traditional banking roles are shifting to meet Vision 2030 goals. It examines regulatory frameworks enforced by SAMA, customer relationship dynamics, and future challenges such as digital transformation and Islamic Finance compliance.</w:t>
      </w:r>
    </w:p>
    <w:bookmarkStart w:id="20" w:name="introduction"/>
    <w:p>
      <w:pPr>
        <w:pStyle w:val="Heading2"/>
      </w:pPr>
      <w:r>
        <w:t xml:space="preserve">1. Introduction</w:t>
      </w:r>
    </w:p>
    <w:p>
      <w:pPr>
        <w:pStyle w:val="FirstParagraph"/>
      </w:pPr>
      <w:r>
        <w:t xml:space="preserve">The financial landscape of the Middle East has undergone a seismic shift over the last two decades. At the heart of this transformation lies Saudi Arabia Riyadh, a city that has evolved from an administrative hub into a vibrant global financial center. Within this ecosystem, no single role is more critical than that of the Banker. The Banker in modern Saudi Arabia is not merely an accountant or a loan officer; they are strategic advisors, regulatory gatekeepers, and facilitators of economic diversification.</w:t>
      </w:r>
    </w:p>
    <w:p>
      <w:pPr>
        <w:pStyle w:val="BodyText"/>
      </w:pPr>
      <w:r>
        <w:t xml:space="preserve">This paper aims to provide a comprehensive analysis of how the definition and function of the Banker have adapted to serve the unique needs of Riyadh. It will explore historical contexts, current operational mandates influenced by Vision 2030, specific regulatory requirements such as Sharia compliance, and future outlooks regarding technological disruption.</w:t>
      </w:r>
    </w:p>
    <w:bookmarkEnd w:id="20"/>
    <w:bookmarkStart w:id="21" w:name="Xd02f2d6405b4ccef615a083b8801e50239f01ca"/>
    <w:p>
      <w:pPr>
        <w:pStyle w:val="Heading2"/>
      </w:pPr>
      <w:r>
        <w:t xml:space="preserve">2. Historical Context: From Oil Dependency to Financial Hub</w:t>
      </w:r>
    </w:p>
    <w:p>
      <w:pPr>
        <w:pStyle w:val="FirstParagraph"/>
      </w:pPr>
      <w:r>
        <w:t xml:space="preserve">To understand the Banker in Saudi Arabia Riyadh today, one must first appreciate the historical trajectory of its banking sector. Historically, the Kingdom's banking services were rudimentary, focused primarily on managing government funds derived from oil revenues and providing basic commercial lending. For decades, foreign banks operated under strict restrictions.</w:t>
      </w:r>
    </w:p>
    <w:p>
      <w:pPr>
        <w:pStyle w:val="BodyText"/>
      </w:pPr>
      <w:r>
        <w:t xml:space="preserve">The paradigm shift began in earnest with regulatory liberalization allowing 100% foreign ownership of banks operating in the Kingdom. Riyadh capitalized on this by establishing itself as a regional headquarters for many multinational financial institutions. Consequently, the Banker’s role expanded from local transaction processing to managing cross-border investments, complex syndicated loans, and international trade finance.</w:t>
      </w:r>
    </w:p>
    <w:bookmarkEnd w:id="21"/>
    <w:bookmarkStart w:id="24" w:name="strategic-alignment-with-vision-2030"/>
    <w:p>
      <w:pPr>
        <w:pStyle w:val="Heading2"/>
      </w:pPr>
      <w:r>
        <w:t xml:space="preserve">3. Strategic Alignment with Vision 2030</w:t>
      </w:r>
    </w:p>
    <w:p>
      <w:pPr>
        <w:pStyle w:val="FirstParagraph"/>
      </w:pPr>
      <w:r>
        <w:t xml:space="preserve">The most significant driver of change for the modern Banker is Saudi Arabia's Vision 2030. This ambitious framework seeks to reduce the Kingdom's dependence on oil, diversify its economy, and develop public service sectors such as healthcare, education, infrastructure, and entertainment.</w:t>
      </w:r>
    </w:p>
    <w:bookmarkStart w:id="22" w:name="facilitating-non-oil-growth"/>
    <w:p>
      <w:pPr>
        <w:pStyle w:val="Heading3"/>
      </w:pPr>
      <w:r>
        <w:t xml:space="preserve">Facilitating Non-Oil Growth</w:t>
      </w:r>
    </w:p>
    <w:p>
      <w:pPr>
        <w:pStyle w:val="FirstParagraph"/>
      </w:pPr>
      <w:r>
        <w:t xml:space="preserve">In this new era of Riyadh’s economic development, the Banker acts as a catalyst for private sector growth. They are tasked with identifying viable non-oil businesses—such as tourism ventures in AlUla, renewable energy projects under NEOM, and advanced manufacturing facilities—and providing the necessary capital structure to support them. This requires a departure from traditional collateral-based lending toward risk assessment models that value innovation and future cash flows.</w:t>
      </w:r>
    </w:p>
    <w:bookmarkEnd w:id="22"/>
    <w:bookmarkStart w:id="23" w:name="public-private-partnerships-ppps"/>
    <w:p>
      <w:pPr>
        <w:pStyle w:val="Heading3"/>
      </w:pPr>
      <w:r>
        <w:t xml:space="preserve">Public-Private Partnerships (PPPs)</w:t>
      </w:r>
    </w:p>
    <w:p>
      <w:pPr>
        <w:pStyle w:val="FirstParagraph"/>
      </w:pPr>
      <w:r>
        <w:t xml:space="preserve">Riyadh is hosting numerous mega-projects requiring massive upfront investment. The Banker plays an advisory role in structuring Public-Private Partnerships, ensuring that risk allocation between the government and private entities is balanced and financially sustainable. This requires sophisticated knowledge of project finance structures common in global markets but novel to the local context.</w:t>
      </w:r>
    </w:p>
    <w:bookmarkEnd w:id="23"/>
    <w:bookmarkEnd w:id="24"/>
    <w:bookmarkStart w:id="27" w:name="Xf39b9e91344a26b6b50dd07662c1d41074c9161"/>
    <w:p>
      <w:pPr>
        <w:pStyle w:val="Heading2"/>
      </w:pPr>
      <w:r>
        <w:t xml:space="preserve">4. Regulatory Frameworks and Sharia Compliance</w:t>
      </w:r>
    </w:p>
    <w:p>
      <w:pPr>
        <w:pStyle w:val="FirstParagraph"/>
      </w:pPr>
      <w:r>
        <w:t xml:space="preserve">A defining characteristic of banking in Saudi Arabia Riyadh is the dual requirement to adhere to both international best practices and strict Islamic law (Sharia). This duality places a unique burden on the Banker, who must maintain high ethical standards while ensuring religious compliance.</w:t>
      </w:r>
    </w:p>
    <w:bookmarkStart w:id="25" w:name="the-role-of-sama"/>
    <w:p>
      <w:pPr>
        <w:pStyle w:val="Heading3"/>
      </w:pPr>
      <w:r>
        <w:t xml:space="preserve">The Role of SAMA</w:t>
      </w:r>
    </w:p>
    <w:p>
      <w:pPr>
        <w:pStyle w:val="FirstParagraph"/>
      </w:pPr>
      <w:r>
        <w:t xml:space="preserve">The Saudi Central Bank (SAMA) acts as the primary regulatory authority. For any professional functioning as a Banker in Riyadh, deep understanding of SAMA’s circulars is mandatory. These regulations cover everything from liquidity coverage ratios to anti-money laundering (AML) protocols. The modern Banker must possess forensic accounting skills to detect fraud and ensure total transparency.</w:t>
      </w:r>
    </w:p>
    <w:bookmarkEnd w:id="25"/>
    <w:bookmarkStart w:id="26" w:name="islamic-finance-products"/>
    <w:p>
      <w:pPr>
        <w:pStyle w:val="Heading3"/>
      </w:pPr>
      <w:r>
        <w:t xml:space="preserve">Islamic Finance Products</w:t>
      </w:r>
    </w:p>
    <w:p>
      <w:pPr>
        <w:pStyle w:val="FirstParagraph"/>
      </w:pPr>
      <w:r>
        <w:t xml:space="preserve">Riyadh is a global leader in Islamic Finance. Therefore, the Banker cannot rely solely on conventional interest-based products (Riba). Instead, they must be proficient in structures such as Murabaha (cost-plus financing), Ijara (leasing), Sukuk (Islamic bonds), and Mudaraba (profit-sharing). The ability to structure a deal that satisfies both the borrower's needs and Sharia principles is the hallmark of expertise in this region.</w:t>
      </w:r>
    </w:p>
    <w:bookmarkEnd w:id="26"/>
    <w:bookmarkEnd w:id="27"/>
    <w:bookmarkStart w:id="30" w:name="Xbc1d47106519f80c3edd7c27af21b4cf818660a"/>
    <w:p>
      <w:pPr>
        <w:pStyle w:val="Heading2"/>
      </w:pPr>
      <w:r>
        <w:t xml:space="preserve">5. Digital Transformation and Fintech Integration</w:t>
      </w:r>
    </w:p>
    <w:p>
      <w:pPr>
        <w:pStyle w:val="FirstParagraph"/>
      </w:pPr>
      <w:r>
        <w:t xml:space="preserve">The demographic profile of Saudi Arabia is predominantly young, with a high rate of smartphone penetration. In Riyadh, there is an intense demand for seamless digital banking experiences. The Banker must now be digitally literate, often collaborating with fintech companies to offer mobile-first solutions.</w:t>
      </w:r>
    </w:p>
    <w:bookmarkStart w:id="28" w:name="enhancing-customer-experience"/>
    <w:p>
      <w:pPr>
        <w:pStyle w:val="Heading3"/>
      </w:pPr>
      <w:r>
        <w:t xml:space="preserve">Enhancing Customer Experience</w:t>
      </w:r>
    </w:p>
    <w:p>
      <w:pPr>
        <w:pStyle w:val="FirstParagraph"/>
      </w:pPr>
      <w:r>
        <w:t xml:space="preserve">Gone are the days when a customer had to queue at a branch in Riyadh for simple transactions. The modern Banker leverages Artificial Intelligence (AI) and Big Data analytics to personalize financial advice. By analyzing spending patterns, the Banker can offer tailored credit limits or investment portfolios. However, this shift also requires strict adherence to data privacy laws, such as the Saudi Personal Data Protection Law.</w:t>
      </w:r>
    </w:p>
    <w:bookmarkEnd w:id="28"/>
    <w:bookmarkStart w:id="29" w:name="open-banking"/>
    <w:p>
      <w:pPr>
        <w:pStyle w:val="Heading3"/>
      </w:pPr>
      <w:r>
        <w:t xml:space="preserve">Open Banking</w:t>
      </w:r>
    </w:p>
    <w:p>
      <w:pPr>
        <w:pStyle w:val="FirstParagraph"/>
      </w:pPr>
      <w:r>
        <w:t xml:space="preserve">SAMA is pushing for Open Banking frameworks where banks share data (with customer consent) to foster innovation. The Banker must navigate this ecosystem, acting as an integrator between traditional banking infrastructure and third-party fintech providers, ensuring that security is not compromised by innovation.</w:t>
      </w:r>
    </w:p>
    <w:bookmarkEnd w:id="29"/>
    <w:bookmarkEnd w:id="30"/>
    <w:bookmarkStart w:id="33" w:name="challenges-and-future-outlook"/>
    <w:p>
      <w:pPr>
        <w:pStyle w:val="Heading2"/>
      </w:pPr>
      <w:r>
        <w:t xml:space="preserve">6. Challenges and Future Outlook</w:t>
      </w:r>
    </w:p>
    <w:p>
      <w:pPr>
        <w:pStyle w:val="FirstParagraph"/>
      </w:pPr>
      <w:r>
        <w:t xml:space="preserve">Despite rapid progress, the Banker in Saudi Arabia Riyadh faces significant challenges. Volatility in global oil prices continues to impact the broader economic sentiment and credit risk profiles of corporations.</w:t>
      </w:r>
    </w:p>
    <w:bookmarkStart w:id="31" w:name="talent-development"/>
    <w:p>
      <w:pPr>
        <w:pStyle w:val="Heading3"/>
      </w:pPr>
      <w:r>
        <w:t xml:space="preserve">Talent Development</w:t>
      </w:r>
    </w:p>
    <w:p>
      <w:pPr>
        <w:pStyle w:val="FirstParagraph"/>
      </w:pPr>
      <w:r>
        <w:t xml:space="preserve">To meet localizing workforce goals (Saudization/Nitaqat), there is an urgent need to train young Saudi nationals to become world-class Bankers. Educational institutions in Riyadh are partnering with banks to bridge the gap between academic theory and practical application. The role of senior Bankers is increasingly focused on mentorship and knowledge transfer.</w:t>
      </w:r>
    </w:p>
    <w:bookmarkEnd w:id="31"/>
    <w:bookmarkStart w:id="32" w:name="geopolitical-stability"/>
    <w:p>
      <w:pPr>
        <w:pStyle w:val="Heading3"/>
      </w:pPr>
      <w:r>
        <w:t xml:space="preserve">Geopolitical Stability</w:t>
      </w:r>
    </w:p>
    <w:p>
      <w:pPr>
        <w:pStyle w:val="FirstParagraph"/>
      </w:pPr>
      <w:r>
        <w:t xml:space="preserve">Riyadh serves as a stabilizing force in the region, but geopolitical tensions inevitably affect investment sentiment. The Banker must possess strong risk management skills to hedge against currency fluctuations and regional instability, ensuring that client assets remain protected.</w:t>
      </w:r>
    </w:p>
    <w:bookmarkEnd w:id="32"/>
    <w:bookmarkEnd w:id="33"/>
    <w:bookmarkStart w:id="34" w:name="conclusion"/>
    <w:p>
      <w:pPr>
        <w:pStyle w:val="Heading2"/>
      </w:pPr>
      <w:r>
        <w:t xml:space="preserve">7. Conclusion</w:t>
      </w:r>
    </w:p>
    <w:p>
      <w:pPr>
        <w:pStyle w:val="FirstParagraph"/>
      </w:pPr>
      <w:r>
        <w:t xml:space="preserve">The role of the Banker in Saudi Arabia Riyadh has evolved from a traditional custodian of wealth to a dynamic architect of economic development. They are pivotal in executing Vision 2030, bridging the gap between Islamic principles and modern financial engineering, and driving digital transformation.</w:t>
      </w:r>
    </w:p>
    <w:p>
      <w:pPr>
        <w:pStyle w:val="BodyText"/>
      </w:pPr>
      <w:r>
        <w:t xml:space="preserve">As Riyadh cements its status as one of the top cities for doing business globally, the Banker will remain a central figure. Their success depends on their ability to adapt to regulatory changes, embrace technology without sacrificing ethical or religious compliance, and foster trust among diverse stakeholders. For researchers and practitioners alike, understanding this multifaceted role is key to comprehending the future of finance in the Kingdom.</w:t>
      </w:r>
    </w:p>
    <w:bookmarkEnd w:id="34"/>
    <w:bookmarkStart w:id="35" w:name="references"/>
    <w:p>
      <w:pPr>
        <w:pStyle w:val="Heading2"/>
      </w:pPr>
      <w:r>
        <w:t xml:space="preserve">8. References</w:t>
      </w:r>
    </w:p>
    <w:p>
      <w:pPr>
        <w:numPr>
          <w:ilvl w:val="0"/>
          <w:numId w:val="1001"/>
        </w:numPr>
        <w:pStyle w:val="Compact"/>
      </w:pPr>
      <w:r>
        <w:t xml:space="preserve">Saudi Central Bank (SAMA). (2023). *Annual Report on Financial Stability and Banking Sector Performance*. Riyadh: SAMA Publications.</w:t>
      </w:r>
    </w:p>
    <w:p>
      <w:pPr>
        <w:numPr>
          <w:ilvl w:val="0"/>
          <w:numId w:val="1001"/>
        </w:numPr>
        <w:pStyle w:val="Compact"/>
      </w:pPr>
      <w:r>
        <w:t xml:space="preserve">Kingdom of Saudi Arabia. (2016). *Vision 2030 Framework: Economic Diversification Strategy*. Royal Decree Office.</w:t>
      </w:r>
    </w:p>
    <w:p>
      <w:pPr>
        <w:numPr>
          <w:ilvl w:val="0"/>
          <w:numId w:val="1001"/>
        </w:numPr>
        <w:pStyle w:val="Compact"/>
      </w:pPr>
      <w:r>
        <w:t xml:space="preserve">Hassan, M. K., &amp; Ali, Y. E. A. (2021). "Islamic Finance in the Gulf Region: Challenges and Opportunities." *Journal of Middle Eastern Economics and Law*, 14(3), 45-67.</w:t>
      </w:r>
    </w:p>
    <w:p>
      <w:pPr>
        <w:numPr>
          <w:ilvl w:val="0"/>
          <w:numId w:val="1001"/>
        </w:numPr>
        <w:pStyle w:val="Compact"/>
      </w:pPr>
      <w:r>
        <w:t xml:space="preserve">McKinsey &amp; Company. (2022). *The Future of Retail Banking in Saudi Arabia: Digital Trends and Consumer Behavior*. Riyadh Branch Analysis.</w:t>
      </w:r>
    </w:p>
    <w:p>
      <w:pPr>
        <w:numPr>
          <w:ilvl w:val="0"/>
          <w:numId w:val="1001"/>
        </w:numPr>
        <w:pStyle w:val="Compact"/>
      </w:pPr>
      <w:r>
        <w:t xml:space="preserve">National Bank of Saudi Arabia. (2023). *Strategic Plan 2035: Sustainability and Innovation*. Corporate Governance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Saudi Arabia Riyadh</dc:title>
  <dc:creator/>
  <dc:language>en</dc:language>
  <cp:keywords/>
  <dcterms:created xsi:type="dcterms:W3CDTF">2026-07-29T20:13:02Z</dcterms:created>
  <dcterms:modified xsi:type="dcterms:W3CDTF">2026-07-29T20:13:02Z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