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X5ccb434d51bc48b5633699fa5e1d7e0fa6668df"/>
    <w:p>
      <w:pPr>
        <w:pStyle w:val="Heading1"/>
      </w:pPr>
      <w:r>
        <w:t xml:space="preserve">The Strategic Evolution of the Banker in United Arab Emirates Abu Dhabi</w:t>
      </w:r>
    </w:p>
    <w:p>
      <w:pPr>
        <w:pStyle w:val="FirstParagraph"/>
      </w:pPr>
      <w:r>
        <w:rPr>
          <w:bCs/>
          <w:b/>
        </w:rPr>
        <w:t xml:space="preserve">Abstract:</w:t>
      </w:r>
    </w:p>
    <w:p>
      <w:pPr>
        <w:pStyle w:val="BodyText"/>
      </w:pPr>
      <w:r>
        <w:t xml:space="preserve">This research paper examines the transformative role of the banker within the financial ecosystem of United Arab Emirates Abu Dhabi. As a global hub for commerce and finance, this region demands a shift from traditional transactional banking to strategic wealth management and sustainable investment advisory. The document analyzes how modern bankers in this jurisdiction must navigate complex regulatory frameworks, embrace digital transformation, and align with national economic visions such as the Abu Dhabi Economic Vision 2030.</w:t>
      </w:r>
    </w:p>
    <w:bookmarkStart w:id="20" w:name="introduction"/>
    <w:p>
      <w:pPr>
        <w:pStyle w:val="Heading2"/>
      </w:pPr>
      <w:r>
        <w:t xml:space="preserve">1. Introduction</w:t>
      </w:r>
    </w:p>
    <w:p>
      <w:pPr>
        <w:pStyle w:val="FirstParagraph"/>
      </w:pPr>
      <w:r>
        <w:t xml:space="preserve">The financial landscape of the</w:t>
      </w:r>
      <w:r>
        <w:t xml:space="preserve"> </w:t>
      </w:r>
      <w:r>
        <w:rPr>
          <w:bCs/>
          <w:b/>
        </w:rPr>
        <w:t xml:space="preserve">United Arab Emirates Abu Dhabi</w:t>
      </w:r>
      <w:r>
        <w:t xml:space="preserve"> </w:t>
      </w:r>
      <w:r>
        <w:t xml:space="preserve">has undergone a radical metamorphosis over the past two decades. Historically known for its oil wealth, the emirate has successfully diversified its economy into tourism, logistics, renewable energy, and finance. Within this dynamic environment, the role of the</w:t>
      </w:r>
      <w:r>
        <w:t xml:space="preserve"> </w:t>
      </w:r>
      <w:r>
        <w:rPr>
          <w:bCs/>
          <w:b/>
        </w:rPr>
        <w:t xml:space="preserve">Banker</w:t>
      </w:r>
      <w:r>
        <w:t xml:space="preserve"> </w:t>
      </w:r>
      <w:r>
        <w:t xml:space="preserve">is no longer confined to balancing ledgers or processing deposits. Today’s banker acts as a critical architect of capital allocation, a guardian of financial integrity, and a strategic partner in national development.</w:t>
      </w:r>
    </w:p>
    <w:p>
      <w:pPr>
        <w:pStyle w:val="BodyText"/>
      </w:pPr>
      <w:r>
        <w:t xml:space="preserve">This paper explores how the professional identity and operational requirements of the banker have evolved to meet the unique challenges and opportunities present in</w:t>
      </w:r>
      <w:r>
        <w:t xml:space="preserve"> </w:t>
      </w:r>
      <w:r>
        <w:rPr>
          <w:bCs/>
          <w:b/>
        </w:rPr>
        <w:t xml:space="preserve">United Arab Emirates Abu Dhabi</w:t>
      </w:r>
      <w:r>
        <w:t xml:space="preserve">. The analysis focuses on three primary pillars: regulatory compliance within free zones, the integration of Fintech and digital banking solutions, and adherence to Environmental, Social, and Governance (ESG) criteria.</w:t>
      </w:r>
    </w:p>
    <w:bookmarkEnd w:id="20"/>
    <w:bookmarkStart w:id="23" w:name="Xc2262bf5fce5345d44a0ce35dbd30ac66b7d061"/>
    <w:p>
      <w:pPr>
        <w:pStyle w:val="Heading2"/>
      </w:pPr>
      <w:r>
        <w:t xml:space="preserve">2. Regulatory Frameworks and Compliance in United Arab Emirates Abu Dhabi</w:t>
      </w:r>
    </w:p>
    <w:p>
      <w:pPr>
        <w:pStyle w:val="FirstParagraph"/>
      </w:pPr>
      <w:r>
        <w:t xml:space="preserve">The foundation of trust in any financial system lies in robust regulation. In</w:t>
      </w:r>
      <w:r>
        <w:t xml:space="preserve"> </w:t>
      </w:r>
      <w:r>
        <w:rPr>
          <w:bCs/>
          <w:b/>
        </w:rPr>
        <w:t xml:space="preserve">United Arab Emirates Abu Dhabi</w:t>
      </w:r>
      <w:r>
        <w:t xml:space="preserve">, the banking sector is heavily regulated by both federal bodies, such as the Central Bank of the United Arab Emirates, and local entities like the Department of Economic Development (DED) and free zone authorities including ADGM (Abu Dhabi Global Market).</w:t>
      </w:r>
    </w:p>
    <w:bookmarkStart w:id="21" w:name="the-adgm-distinction"/>
    <w:p>
      <w:pPr>
        <w:pStyle w:val="Heading3"/>
      </w:pPr>
      <w:r>
        <w:t xml:space="preserve">2.1 The ADGM Distinction</w:t>
      </w:r>
    </w:p>
    <w:p>
      <w:pPr>
        <w:pStyle w:val="FirstParagraph"/>
      </w:pPr>
      <w:r>
        <w:t xml:space="preserve">A critical aspect for any banker operating in this region is understanding the dual regulatory regime. The Abu Dhabi Global Market operates under a common law framework, distinct from the civil law system of mainland</w:t>
      </w:r>
      <w:r>
        <w:t xml:space="preserve"> </w:t>
      </w:r>
      <w:r>
        <w:rPr>
          <w:bCs/>
          <w:b/>
        </w:rPr>
        <w:t xml:space="preserve">United Arab Emirates Abu Dhabi</w:t>
      </w:r>
      <w:r>
        <w:t xml:space="preserve">. A sophisticated</w:t>
      </w:r>
      <w:r>
        <w:t xml:space="preserve"> </w:t>
      </w:r>
      <w:r>
        <w:rPr>
          <w:bCs/>
          <w:b/>
        </w:rPr>
        <w:t xml:space="preserve">Banker</w:t>
      </w:r>
      <w:r>
        <w:t xml:space="preserve"> </w:t>
      </w:r>
      <w:r>
        <w:t xml:space="preserve">must possess deep knowledge of these nuances to effectively serve multinational corporations and high-net-worth individuals who utilize the ADGM as a gateway for international investments.</w:t>
      </w:r>
    </w:p>
    <w:bookmarkEnd w:id="21"/>
    <w:bookmarkStart w:id="22" w:name="anti-money-laundering-aml-protocols"/>
    <w:p>
      <w:pPr>
        <w:pStyle w:val="Heading3"/>
      </w:pPr>
      <w:r>
        <w:t xml:space="preserve">2.2 Anti-Money Laundering (AML) Protocols</w:t>
      </w:r>
    </w:p>
    <w:p>
      <w:pPr>
        <w:pStyle w:val="FirstParagraph"/>
      </w:pPr>
      <w:r>
        <w:rPr>
          <w:bCs/>
          <w:b/>
        </w:rPr>
        <w:t xml:space="preserve">United Arab Emirates Abu Dhabi</w:t>
      </w:r>
      <w:r>
        <w:t xml:space="preserve"> </w:t>
      </w:r>
      <w:r>
        <w:t xml:space="preserve">has made significant strides in enhancing its AML/CTF (Combating the Financing of Terrorism) frameworks to align with Financial Action Task Force (FATF) standards. Consequently, the modern banker is required to implement rigorous Know Your Customer (KYC) procedures. This involves not just identity verification, but also understanding the source of funds and the beneficial ownership structures of corporate clients. The failure to adhere to these stringent protocols can result in severe reputational and legal consequences for both the individual banker and their institution.</w:t>
      </w:r>
    </w:p>
    <w:bookmarkEnd w:id="22"/>
    <w:bookmarkEnd w:id="23"/>
    <w:bookmarkStart w:id="26" w:name="Xbc1d47106519f80c3edd7c27af21b4cf818660a"/>
    <w:p>
      <w:pPr>
        <w:pStyle w:val="Heading2"/>
      </w:pPr>
      <w:r>
        <w:t xml:space="preserve">3. Digital Transformation and Fintech Integration</w:t>
      </w:r>
    </w:p>
    <w:p>
      <w:pPr>
        <w:pStyle w:val="FirstParagraph"/>
      </w:pPr>
      <w:r>
        <w:t xml:space="preserve">The role of the</w:t>
      </w:r>
      <w:r>
        <w:t xml:space="preserve"> </w:t>
      </w:r>
      <w:r>
        <w:rPr>
          <w:bCs/>
          <w:b/>
        </w:rPr>
        <w:t xml:space="preserve">Banker</w:t>
      </w:r>
      <w:r>
        <w:t xml:space="preserve"> </w:t>
      </w:r>
      <w:r>
        <w:t xml:space="preserve">is increasingly mediated through technology. In</w:t>
      </w:r>
      <w:r>
        <w:t xml:space="preserve"> </w:t>
      </w:r>
      <w:r>
        <w:rPr>
          <w:bCs/>
          <w:b/>
        </w:rPr>
        <w:t xml:space="preserve">United Arab Emirates Abu Dhabi</w:t>
      </w:r>
      <w:r>
        <w:t xml:space="preserve">, there is a strong government push toward becoming a smart city and a digital economy hub. This has necessitated that bankers acquire technical literacy alongside their financial acumen.</w:t>
      </w:r>
    </w:p>
    <w:bookmarkStart w:id="24" w:name="the-rise-of-neobanks-and-open-banking"/>
    <w:p>
      <w:pPr>
        <w:pStyle w:val="Heading3"/>
      </w:pPr>
      <w:r>
        <w:t xml:space="preserve">3.1 The Rise of Neobanks and Open Banking</w:t>
      </w:r>
    </w:p>
    <w:p>
      <w:pPr>
        <w:pStyle w:val="FirstParagraph"/>
      </w:pPr>
      <w:r>
        <w:t xml:space="preserve">The emergence of neobanks in the region has disrupted traditional banking models. Customers in</w:t>
      </w:r>
      <w:r>
        <w:t xml:space="preserve"> </w:t>
      </w:r>
      <w:r>
        <w:rPr>
          <w:bCs/>
          <w:b/>
        </w:rPr>
        <w:t xml:space="preserve">United Arab Emirates Abu Dhabi</w:t>
      </w:r>
      <w:r>
        <w:t xml:space="preserve"> </w:t>
      </w:r>
      <w:r>
        <w:t xml:space="preserve">now expect seamless, app-based experiences for everything from currency exchange to mortgage applications. Therefore, the contemporary banker must leverage data analytics to offer personalized financial advice rather than relying solely on face-to-face interactions. Understanding algorithms and artificial intelligence is no longer optional; it is a core competency for maintaining relevance in this competitive market.</w:t>
      </w:r>
    </w:p>
    <w:bookmarkEnd w:id="24"/>
    <w:bookmarkStart w:id="25" w:name="blockchain-and-cryptocurrency"/>
    <w:p>
      <w:pPr>
        <w:pStyle w:val="Heading3"/>
      </w:pPr>
      <w:r>
        <w:t xml:space="preserve">3.2 Blockchain and Cryptocurrency</w:t>
      </w:r>
    </w:p>
    <w:p>
      <w:pPr>
        <w:pStyle w:val="FirstParagraph"/>
      </w:pPr>
      <w:r>
        <w:rPr>
          <w:bCs/>
          <w:b/>
        </w:rPr>
        <w:t xml:space="preserve">United Arab Emirates Abu Dhabi</w:t>
      </w:r>
      <w:r>
        <w:t xml:space="preserve">, particularly through the Varaq platform established by the ADGM, has positioned itself as a leader in regulated digital assets. Bankers must now understand blockchain technology and its implications for cross-border payments and asset tokenization. This requires a continuous learning mindset, as regulatory guidance on crypto-assets is still evolving rapidly.</w:t>
      </w:r>
    </w:p>
    <w:bookmarkEnd w:id="25"/>
    <w:bookmarkEnd w:id="26"/>
    <w:bookmarkStart w:id="29" w:name="sustainable-finance-and-esg-alignment"/>
    <w:p>
      <w:pPr>
        <w:pStyle w:val="Heading2"/>
      </w:pPr>
      <w:r>
        <w:t xml:space="preserve">4. Sustainable Finance and ESG Alignment</w:t>
      </w:r>
    </w:p>
    <w:p>
      <w:pPr>
        <w:pStyle w:val="FirstParagraph"/>
      </w:pPr>
      <w:r>
        <w:t xml:space="preserve">A pivotal aspect of the current banking landscape in</w:t>
      </w:r>
      <w:r>
        <w:t xml:space="preserve"> </w:t>
      </w:r>
      <w:r>
        <w:rPr>
          <w:bCs/>
          <w:b/>
        </w:rPr>
        <w:t xml:space="preserve">United Arab Emirates Abu Dhabi</w:t>
      </w:r>
      <w:r>
        <w:t xml:space="preserve"> </w:t>
      </w:r>
      <w:r>
        <w:t xml:space="preserve">is the shift toward sustainable finance. Aligned with the UAE’s Net Zero by 2050 Strategic Initiative, banks are increasingly required to factor environmental risks into their lending portfolios.</w:t>
      </w:r>
    </w:p>
    <w:bookmarkStart w:id="27" w:name="green-bonds-and-sustainable-loans"/>
    <w:p>
      <w:pPr>
        <w:pStyle w:val="Heading3"/>
      </w:pPr>
      <w:r>
        <w:t xml:space="preserve">4.1 Green Bonds and Sustainable Loans</w:t>
      </w:r>
    </w:p>
    <w:p>
      <w:pPr>
        <w:pStyle w:val="FirstParagraph"/>
      </w:pPr>
      <w:r>
        <w:t xml:space="preserve">The</w:t>
      </w:r>
      <w:r>
        <w:t xml:space="preserve"> </w:t>
      </w:r>
      <w:r>
        <w:rPr>
          <w:bCs/>
          <w:b/>
        </w:rPr>
        <w:t xml:space="preserve">Banker</w:t>
      </w:r>
      <w:r>
        <w:t xml:space="preserve"> </w:t>
      </w:r>
      <w:r>
        <w:t xml:space="preserve">is now tasked with structuring green bonds and sustainability-linked loans. In</w:t>
      </w:r>
      <w:r>
        <w:t xml:space="preserve"> </w:t>
      </w:r>
      <w:r>
        <w:rPr>
          <w:bCs/>
          <w:b/>
        </w:rPr>
        <w:t xml:space="preserve">United Arab Emirates Abu Dhabi</w:t>
      </w:r>
      <w:r>
        <w:t xml:space="preserve">, major infrastructure projects, such as the Masdar City initiative, rely heavily on green financing mechanisms. Bankers must assess the environmental impact of projects and ensure that financial products align with global ESG standards.</w:t>
      </w:r>
    </w:p>
    <w:bookmarkEnd w:id="27"/>
    <w:bookmarkStart w:id="28" w:name="social-responsibility"/>
    <w:p>
      <w:pPr>
        <w:pStyle w:val="Heading3"/>
      </w:pPr>
      <w:r>
        <w:t xml:space="preserve">4.2 Social Responsibility</w:t>
      </w:r>
    </w:p>
    <w:p>
      <w:pPr>
        <w:pStyle w:val="FirstParagraph"/>
      </w:pPr>
      <w:r>
        <w:t xml:space="preserve">United Arab Emirates Abu Dhabi.</w:t>
      </w:r>
    </w:p>
    <w:bookmarkEnd w:id="28"/>
    <w:bookmarkEnd w:id="29"/>
    <w:bookmarkStart w:id="30" w:name="cultural-competency-and-client-relations"/>
    <w:p>
      <w:pPr>
        <w:pStyle w:val="Heading2"/>
      </w:pPr>
      <w:r>
        <w:t xml:space="preserve">5. Cultural Competency and Client Relations</w:t>
      </w:r>
    </w:p>
    <w:p>
      <w:pPr>
        <w:pStyle w:val="FirstParagraph"/>
      </w:pPr>
      <w:r>
        <w:t xml:space="preserve">The human element remains central to banking. The demographic composition of</w:t>
      </w:r>
      <w:r>
        <w:t xml:space="preserve"> </w:t>
      </w:r>
      <w:r>
        <w:rPr>
          <w:bCs/>
          <w:b/>
        </w:rPr>
        <w:t xml:space="preserve">United Arab Emirates Abu Dhabi</w:t>
      </w:r>
      <w:r>
        <w:t xml:space="preserve">, with a vast multicultural population, demands that bankers possess high emotional intelligence and cross-cultural communication skills.</w:t>
      </w:r>
    </w:p>
    <w:p>
      <w:pPr>
        <w:pStyle w:val="BodyText"/>
      </w:pPr>
      <w:r>
        <w:t xml:space="preserve">A</w:t>
      </w:r>
      <w:r>
        <w:t xml:space="preserve"> </w:t>
      </w:r>
      <w:r>
        <w:rPr>
          <w:bCs/>
          <w:b/>
        </w:rPr>
        <w:t xml:space="preserve">Banker</w:t>
      </w:r>
      <w:r>
        <w:t xml:space="preserve"> </w:t>
      </w:r>
      <w:r>
        <w:t xml:space="preserve">in this region interacts with clients from Europe, Asia, Africa, and the Americas daily. Understanding cultural nuances in business etiquette is essential. For instance, relationship building often takes precedence over transactional efficiency in traditional Arab business culture. Therefore, patience and respect for hierarchical structures within client organizations are vital soft skills for any banker operating successfully in</w:t>
      </w:r>
      <w:r>
        <w:t xml:space="preserve"> </w:t>
      </w:r>
      <w:r>
        <w:rPr>
          <w:bCs/>
          <w:b/>
        </w:rPr>
        <w:t xml:space="preserve">United Arab Emirates Abu Dhabi</w:t>
      </w:r>
      <w:r>
        <w:t xml:space="preserve">.</w:t>
      </w:r>
    </w:p>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Banker</w:t>
      </w:r>
      <w:r>
        <w:t xml:space="preserve"> </w:t>
      </w:r>
      <w:r>
        <w:t xml:space="preserve">in</w:t>
      </w:r>
      <w:r>
        <w:t xml:space="preserve"> </w:t>
      </w:r>
      <w:r>
        <w:rPr>
          <w:bCs/>
          <w:b/>
        </w:rPr>
        <w:t xml:space="preserve">United Arab Emirates Abu Dhabi</w:t>
      </w:r>
      <w:r>
        <w:t xml:space="preserve">[1]</w:t>
      </w:r>
      <w:r>
        <w:t xml:space="preserve">[2]</w:t>
      </w:r>
      <w:r>
        <w:t xml:space="preserve">[3]</w:t>
      </w:r>
      <w:r>
        <w:t xml:space="preserve"> </w:t>
      </w:r>
      <w:r>
        <w:t xml:space="preserve">has expanded far beyond traditional financial intermediation. The modern banker must be a hybrid professional, combining legal expertise in complex regulatory regimes like the ADGM, technical proficiency in digital banking and fintech, and a strategic understanding of sustainable finance.</w:t>
      </w:r>
    </w:p>
    <w:p>
      <w:pPr>
        <w:pStyle w:val="BodyText"/>
      </w:pPr>
      <w:r>
        <w:t xml:space="preserve">As</w:t>
      </w:r>
      <w:r>
        <w:t xml:space="preserve"> </w:t>
      </w:r>
      <w:r>
        <w:rPr>
          <w:bCs/>
          <w:b/>
        </w:rPr>
        <w:t xml:space="preserve">United Arab Emirates Abu Dhabi</w:t>
      </w:r>
      <w:r>
        <w:t xml:space="preserve">[1]</w:t>
      </w:r>
      <w:r>
        <w:t xml:space="preserve">[2]</w:t>
      </w:r>
      <w:r>
        <w:t xml:space="preserve">[3]</w:t>
      </w:r>
      <w:r>
        <w:t xml:space="preserve"> </w:t>
      </w:r>
      <w:r>
        <w:t xml:space="preserve">continues to assert its position as a global financial hub, the demands on the banking profession will only intensify. Success in this sector requires not just technical knowledge, but also adaptability, cultural sensitivity, and a commitment to ethical stewardship of capital.</w:t>
      </w:r>
    </w:p>
    <w:p>
      <w:pPr>
        <w:pStyle w:val="BodyText"/>
      </w:pPr>
      <w:r>
        <w:t xml:space="preserve">The future of banking in this region is bright for those professionals who can navigate the intersection of tradition and innovation. By embracing these evolving roles, bankers will continue to drive the economic prosperity of</w:t>
      </w:r>
      <w:r>
        <w:t xml:space="preserve"> </w:t>
      </w:r>
      <w:r>
        <w:rPr>
          <w:bCs/>
          <w:b/>
        </w:rPr>
        <w:t xml:space="preserve">United Arab Emirates Abu Dhabi</w:t>
      </w:r>
      <w:r>
        <w:t xml:space="preserve">, ensuring that the financial sector remains resilient, inclusive, and forward-looking.</w:t>
      </w:r>
    </w:p>
    <w:bookmarkEnd w:id="31"/>
    <w:bookmarkStart w:id="32" w:name="references"/>
    <w:p>
      <w:pPr>
        <w:pStyle w:val="Heading2"/>
      </w:pPr>
      <w:r>
        <w:t xml:space="preserve">References</w:t>
      </w:r>
    </w:p>
    <w:p>
      <w:pPr>
        <w:numPr>
          <w:ilvl w:val="0"/>
          <w:numId w:val="1001"/>
        </w:numPr>
        <w:pStyle w:val="Compact"/>
      </w:pPr>
      <w:r>
        <w:t xml:space="preserve">[1]</w:t>
      </w:r>
    </w:p>
    <w:p>
      <w:pPr>
        <w:numPr>
          <w:ilvl w:val="0"/>
          <w:numId w:val="1001"/>
        </w:numPr>
        <w:pStyle w:val="Compact"/>
      </w:pPr>
      <w:r>
        <w:t xml:space="preserve">[2]</w:t>
      </w:r>
    </w:p>
    <w:p>
      <w:pPr>
        <w:numPr>
          <w:ilvl w:val="0"/>
          <w:numId w:val="1000"/>
        </w:numPr>
        <w:pStyle w:val="Compact"/>
      </w:pPr>
      <w:r>
        <w:rPr>
          <w:bCs/>
          <w:b/>
        </w:rPr>
        <w:t xml:space="preserve">[2]</w:t>
      </w:r>
    </w:p>
    <w:p>
      <w:pPr>
        <w:numPr>
          <w:ilvl w:val="0"/>
          <w:numId w:val="1000"/>
        </w:numPr>
        <w:pStyle w:val="Compact"/>
      </w:pPr>
      <w:r>
        <w:t xml:space="preserve">Abu Dhabi Global Market (ADGM) Regulatory Handbook and Legal Frameworks.</w:t>
      </w:r>
    </w:p>
    <w:p>
      <w:pPr>
        <w:numPr>
          <w:ilvl w:val="0"/>
          <w:numId w:val="1001"/>
        </w:numPr>
        <w:pStyle w:val="Compact"/>
      </w:pPr>
      <w:r>
        <w:t xml:space="preserve">[3]</w:t>
      </w:r>
    </w:p>
    <w:p>
      <w:pPr>
        <w:numPr>
          <w:ilvl w:val="0"/>
          <w:numId w:val="1000"/>
        </w:numPr>
        <w:pStyle w:val="Compact"/>
      </w:pPr>
      <w:r>
        <w:rPr>
          <w:bCs/>
          <w:b/>
        </w:rPr>
        <w:t xml:space="preserve">[3]</w:t>
      </w:r>
    </w:p>
    <w:p>
      <w:pPr>
        <w:numPr>
          <w:ilvl w:val="0"/>
          <w:numId w:val="1000"/>
        </w:numPr>
        <w:pStyle w:val="Compact"/>
      </w:pPr>
      <w:r>
        <w:t xml:space="preserve">UAE Ministry of Finance, "UAE Net Zero by 2050 Strategic Initiative" and associated financial guidelines.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Banker in United Arab Emirates Abu Dhabi</dc:title>
  <dc:creator/>
  <dc:language>en</dc:language>
  <cp:keywords/>
  <dcterms:created xsi:type="dcterms:W3CDTF">2026-07-29T19:39:50Z</dcterms:created>
  <dcterms:modified xsi:type="dcterms:W3CDTF">2026-07-29T19:39:50Z</dcterms:modified>
</cp:coreProperties>
</file>

<file path=docProps/custom.xml><?xml version="1.0" encoding="utf-8"?>
<Properties xmlns="http://schemas.openxmlformats.org/officeDocument/2006/custom-properties" xmlns:vt="http://schemas.openxmlformats.org/officeDocument/2006/docPropsVTypes"/>
</file>