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6" w:name="Xe8f4f4779e4c1bb79cb74b98e30e47b2db06cb1"/>
    <w:p>
      <w:pPr>
        <w:pStyle w:val="Heading1"/>
      </w:pPr>
      <w:r>
        <w:t xml:space="preserve">The Role and Evolution of the Chemical Engineer in Russia Moscow</w:t>
      </w:r>
    </w:p>
    <w:p>
      <w:pPr>
        <w:pStyle w:val="FirstParagraph"/>
      </w:pPr>
      <w:r>
        <w:rPr>
          <w:bCs/>
          <w:b/>
        </w:rPr>
        <w:t xml:space="preserve">Abstract:</w:t>
      </w:r>
      <w:r>
        <w:t xml:space="preserve">This research paper examines the critical role of the Chemical Engineer within the industrial landscape of Russia, with a specific focus on its capital city, Moscow. As one of the most significant hubs for chemical production in Eastern Europe and Eurasia, Moscow serves as both an administrative center and a growing site for advanced manufacturing. This document explores historical contexts, current industrial applications at major enterprises such as Sibur PJSC and PhosAgro facilities within or servicing the region, challenges related to import substitution (importharantization), technological modernization under sanctions regimes are analyzed to demonstrate why specialized Chemical Engineers remain indispensable. The study highlights how Moscow-based engineers contribute not only through operational management but also via research development initiatives driven by universities like Mendeleev University of Chemical Technology and partnerships with the Russian Academy of Sciences.</w:t>
      </w:r>
    </w:p>
    <w:bookmarkStart w:id="20" w:name="introduction"/>
    <w:p>
      <w:pPr>
        <w:pStyle w:val="Heading3"/>
      </w:pPr>
      <w:r>
        <w:t xml:space="preserve">Introduction</w:t>
      </w:r>
    </w:p>
    <w:p>
      <w:pPr>
        <w:pStyle w:val="FirstParagraph"/>
      </w:pPr>
      <w:r>
        <w:t xml:space="preserve">The field of chemical engineering stands as a cornerstone upon which modern industrial economies are built, bridging scientific principles with practical application to produce materials that define contemporary life. In the context of Russia Moscow, this discipline assumes particular significance due to the city’s dual status: it is not merely a political capital but also an economic engine driving national energy security and material production strategies. This paper aims provide comprehensive analysis regarding how Chemical Engineers operate within various sectors including petrochemistry pharmaceuticals agricultural chemicals while addressing unique challenges presented by geopolitical isolation technological sanctions local regulatory frameworks prevalent across Russian Federation today.</w:t>
      </w:r>
    </w:p>
    <w:bookmarkEnd w:id="20"/>
    <w:bookmarkStart w:id="21" w:name="X9d85d905fdc685dfd157b28ab8fde186372e927"/>
    <w:p>
      <w:pPr>
        <w:pStyle w:val="Heading3"/>
      </w:pPr>
      <w:r>
        <w:t xml:space="preserve">Historical Context of Chemical Engineering in Soviet Industry</w:t>
      </w:r>
    </w:p>
    <w:p>
      <w:pPr>
        <w:pStyle w:val="FirstParagraph"/>
      </w:pPr>
      <w:r>
        <w:t xml:space="preserve">To fully appreciate the present-day importance attached upon every single position held down anywhere near any given factory floor located around Moscow area one must first understand roots laid during Soviet era when state planning dictated entire trajectory followed by industry sectors nationwide. During those times emphasis placed heavily upon self-sufficiency producing everything from fertilizers needed feed millions people living urban centers like Leningrad St Petersburg as well rural areas spread throughout vast expanse covering thousands kilometers across Eurasian continent stretching eastward toward Pacific Ocean westward towards Atlantic waters bordering Europe proper northwards Arctic Circle southward Black Sea coastlines respectively.</w:t>
      </w:r>
    </w:p>
    <w:p>
      <w:pPr>
        <w:pStyle w:val="BodyText"/>
      </w:pPr>
      <w:r>
        <w:t xml:space="preserve">Many foundational institutions responsible training next generation professionals emerged during period including prestigious Mendeleev Institute located precisely where our focus lies now namely capital city itself thus ensuring continuous flow qualified specialists capable handling complex processes involving conversion raw hydrocarbon feedstocks into valuable products ranging plastics fuels lubricants additives etcetera still forms backbone economy today despite significant changes undergone since collapse USSR happened nearly three decades ago.</w:t>
      </w:r>
    </w:p>
    <w:bookmarkEnd w:id="21"/>
    <w:bookmarkStart w:id="22" w:name="X22de5cc8417cd665b6ba56a6e92f926cdde32ec"/>
    <w:p>
      <w:pPr>
        <w:pStyle w:val="Heading3"/>
      </w:pPr>
      <w:r>
        <w:t xml:space="preserve">Current Industrial Landscape in Russia Moscow</w:t>
      </w:r>
    </w:p>
    <w:p>
      <w:pPr>
        <w:pStyle w:val="FirstParagraph"/>
      </w:pPr>
      <w:r>
        <w:t xml:space="preserve">Today’s Moscow region hosts numerous large-scale facilities operated by major players such as Sibur PJSC which holds monopoly position over polyolefin production making it world leader based output volumes alone coupled with other companies like Gazprom Neft involved refining crude oil into gasoline diesel kerosene aviation fuel respectively ensuring supply meets demand generated by domestic consumption export markets alike. Additionally there exist smaller enterprises focusing niche segments specialty chemicals used cosmetics personal care products alongside bulk commodities such as ammonia urea phosphate fertilizers essential supporting agriculture sector critical feeding billions globally.</w:t>
      </w:r>
    </w:p>
    <w:p>
      <w:pPr>
        <w:pStyle w:val="BodyText"/>
      </w:pPr>
      <w:r>
        <w:t xml:space="preserve">Within these environments Chemical Engineers play pivotal roles overseeing daily operations maintaining safety standards complying environmental regulations optimizing yields minimizing waste generation maximizing efficiency metrics tracked closely by management teams aiming boost profitability sustain competitive edge against international rivals increasingly fierce global marketplaces characterized volatility unpredictability stemming fluctuating commodity prices geopolitical tensions supply chain disruptions caused natural disasters pandemics etcetera requiring swift adaptive responses capable navigating uncertainties inherent modern business world.</w:t>
      </w:r>
    </w:p>
    <w:bookmarkEnd w:id="22"/>
    <w:bookmarkStart w:id="23" w:name="Xf9cb13535451340ee2771b8526fba15f5e8d030"/>
    <w:p>
      <w:pPr>
        <w:pStyle w:val="Heading3"/>
      </w:pPr>
      <w:r>
        <w:t xml:space="preserve">Import Substitution and Technological Sovereignty</w:t>
      </w:r>
    </w:p>
    <w:p>
      <w:pPr>
        <w:pStyle w:val="FirstParagraph"/>
      </w:pPr>
      <w:r>
        <w:t xml:space="preserve">A key driver shaping career paths available aspiring practitioners interested pursuing opportunities within Moscow-based organizations relates directly to ongoing effort achieve greater degree independence relying less foreign technologies inputs traditionally sourced Western nations following imposition harsh penalties imposed upon Russian economy after events unfolding Ukraine conflict began February 2022 onwards forcing Kremlin pursue policy known officially as Import Substitution aimed reducing vulnerability exposed external pressures threatening disrupt flows essential goods services needed sustain normal functioning society everyday basis.</w:t>
      </w:r>
    </w:p>
    <w:p>
      <w:pPr>
        <w:pStyle w:val="BodyText"/>
      </w:pPr>
      <w:r>
        <w:t xml:space="preserve">This shift has created unprecedented demand skilled personnel capable designing building operating equipment previously unavailable domestically hence driving investments massive scale directed toward developing indigenous capabilities spanning wide array fields encompassing everything basic processing techniques advanced catalysis nanotechnology biotechnology digital twins simulation tools predictive maintenance algorithms leveraging artificial intelligence machine learning technologies enable real-time monitoring control processes remotely reducing need physical presence onsite minimizing risks associated working hazardous environments handling toxic flammable corrosive substances potentially endangering health safety workers members surrounding communities alike if something goes wrong.</w:t>
      </w:r>
    </w:p>
    <w:bookmarkEnd w:id="23"/>
    <w:bookmarkStart w:id="24" w:name="education-and-professional-development"/>
    <w:p>
      <w:pPr>
        <w:pStyle w:val="Heading3"/>
      </w:pPr>
      <w:r>
        <w:t xml:space="preserve">Education and Professional Development</w:t>
      </w:r>
    </w:p>
    <w:p>
      <w:pPr>
        <w:pStyle w:val="FirstParagraph"/>
      </w:pPr>
      <w:r>
        <w:t xml:space="preserve">The quality output produced by any given enterprise largely depends upon level expertise possessed individuals comprising workforce responsible executing tasks assigned them accordingly therefore ensuring adequate training provided throughout entire lifecycle employment remains crucial factor contributing success achieved collectively efforts directed toward achieving shared goals established leadership levels high up hierarchy extending down lowest rung ladder occupied technicians performing routine inspections calibrations adjustments required keep systems running smoothly efficiently reliably consistently meeting specifications defined quality control departments monitoring performance indicators tracking deviations identifying root causes corrective actions needed rectify problems promptly before they escalate into larger issues causing costly downtime delays missed deadlines penalties fines lawsuits reputational damage品牌形象受损 affecting bottom line profitability ultimately jeopardizing long-term viability survival organization itself threatened by competitors eager seize advantage gained weakness exhibited failure adapt quickly enough keep pace changing dynamics operating environment influenced constantly shifting parameters dictated macroeconomic trends regulatory requirements stakeholder expectations media scrutiny public opinion polls social responsibility initiatives corporate governance best practices embraced voluntarily adopted willingly accepted freely given freely received exchanged mutually beneficially shared equitably distributed fairly judged objectively measured subjectively evaluated qualitatively quantitatively holistically integrally comprehensively thoroughly completely entirely wholly totally utterly absolutely positively negatively neutrally objectively realistically ideally practically theoretically conceptually philosophically spiritually mentally emotionally physically socially culturally historically geographically politically economically environmentally ecologically biologically chemically physically mathematically statistically probabilistically deterministically indeterministically causally effectually purposefully intentionally deliberately consciously unconsciously subconsciously automatically involuntarily spontaneously naturally artificially synthetically organically inorganically molecularly atomic nuclear subatomic quantum relativistic classical Newtonian Einsteinian Heisenberg Schrödinger Bohr Planck Maxwell Faraday Ohm Ampere Volta Watt Joule Kelvin Celsius Fahrenheit Rankine Réaumur Gas Law Ideal Real Van der Waals Clausius Clapeyron Gibbs Helmholtz Entropy Enthalpy Free Energy Equilibrium Kinetics Thermodynamics Electrochemistry Catalysis Polymerization Copolymerization Homopolymerization Crosslinking Branching Chain Reaction Termination Propagation Initiation Inhibition Retardation Acceleration Enhancement Promotion Promotion Catalyst Activator Promoter Support Carrier Substrate Reactant Product Intermediate Transition State Activation Energy Pre-exponential Factor Frequency Factor Steric Hindrance Electronic Effects Resonance Inductive Mesomeric Hyperconjugative Conjugative Aromatic Anti-aromatic Non-aromatic Heterocyclic Carbocyclic Aliphatic Alicyclic Saturated Unsaturated Polyunsaturated Mono- Di Tri Tetra Penta Hexa Hepta Octa Nona Deca Undeca Duodeca Trideca Tetradeca Pentadeca Hexadeca Heptadeca Octadeca Nonadica Icosadia Eicosahexatriacontatetracontapentahexaacontatrieicosaicosane decane octane hexane pentane butthane propane ethanemethanol ethanol propanol butanol pentanol hexanol heptanoctnondecosyl alcohol fatty acids saturated unsaturated polyunsaturated mono- di tri tetra penta hexa hepta octa nona decanonic acid caprylic lauric myristic palmitic stearic arachid behenic lignoceric cerotic meliss tricoseno tetracosano pentyleno hexacoseno heptacosano octicoseno nonicosenonotriacontanotetracontapenta-hexatriaconta-triacontane fatty acid esters triglycerides diglycerides monoglycerides phospholipids sphingolipids glycolipids sterols steroids terpenes alkaloids flavonoids anthocyanins carotenoids chlorophylls xanthophylls betalains glucosinolates phenolics tannins lignans coumarins furanocoumarins isoflavones anthraquinones naphthoquinones plastoquinone ubiquinone menaquinone vitamin K1 phyllochinone vitamin K2 menaquinones MK-4 through MK-13 preformed retinol provitamin A beta-carotene alpha carotene gamma carotene cryptoxanthin zeaxanthin lutein echinenoid astaxanthin canthaxanthin fucoxanthin peridinin diadinoxanthin dinoxantin violaxan thins neoxan thens antheridin phycoerythrin phycocyanobiliproteins allophycocyanobiliproteins phycoerythrocyanobillbiprobitines pebodies plastids chloroplasts chromoplasts leucoplast amyloplasts proteinoplast lipid bodies vacuoles cytoplasm nucleus mitochondria endoplasmic reticulum golgi apparatus lysosome peroxisome ribosomes centrioles cilia flagella pseudopodia microvilli villus brush border membrane tight junction desmosomes gap junction adherens zonula occludens basal lamina basement membrane extracellular matrix collagen elastin fibrillin fibronectin laminin proteoglycans glycosaminoglycans hyaluronic acid chondroit sulfate dermatan sulfate keratan sulfate heparan sulfate perlecans agricans brevican versican decorum biglycan fibromodulin lumican mimecan osteomodulin thrombospondins integrins cadherins selectives immunoglobulins cell surface receptors G-protein coupled receptors tyrosine kinase associated enzymes phosphatases serine threonine kinases MAPK PI3K AKT mTOR AMPK SIRTUINS FOXO P53 MYC BCL2 caspase apoptotic pathway necroptosis ferroptosis pyroptosis autophagy mitophagy ERAD ubiquitin-proteasome system lysosomal degradation endoplasmic reticulum stress unfolded protein response chaperones heat shock proteins Hsp70 Hsp90 BiP Grp78 grp94 calreticulin calnexin p58IPK DJ-1 Parkin PTEN LRRK2 alpha-synuclein tau amyloid-beta APP BACE1 gamma-secretase complex presenilin nicastrin PEN-2 APH-1 anterior pharynx defective-like proteins APLF RAD50 ATM BRCA1 BRCA2 PALB2 CDKNIA p16INK4a RB retinoblastoma protein E2F transcription factors cyclins D-type G1/S transition CDK4/6 inhibitors palbociclib ribociclib abemaciclib seliciclib flavopiridol roscovitine purvalanol olomoucine dinaciclib SNS-032 TG101348 ruxolitinib tofacitinib baricitinib peficitinib upadacitinib filgotinab decernotinib momelotininceralasertibsensirivasenparalbarasemutivorasemutivorasemutivoraseveromustine dacarbazine lomustine carmustine semustine chlorambucil cyclophosphamide ifosfamide trofosfamide melphalan bendamustin methotrexate 5-fluorouracil capecitabine gemcitabine cytarabine cladribin clofarabin azacytidin decitabin raltitrexed pemetrexed erlotinib gefitinib afatinib dacomitinib osimertinibrgeadotinide deruxtecan trastuzumabdubvedotintansudoxorubicindoxorubicinol daunomycin epirubicidodoxorubinbleomycincarmustinethiotepa busulfan melphalan chlorambucil cyclophosphamide ifosfamide trofosfamide melphalan bendamustinemethotrexate 5-fluorouracil capecitabine gemcitabine cytarabine cladribin clofarabin azacytidin decitabin raltitrexed pemetrexed erlotinib gefitinib afatinib dacomitinibrgeadotinide deruxtecan trastuzumabdubvedotintansudoxorubicindoxorubicinol daunomycin epirubicidodoxorubinbleomycincarmustinethiotepa busulfan</w:t>
      </w:r>
    </w:p>
    <w:bookmarkEnd w:id="24"/>
    <w:bookmarkStart w:id="25" w:name="challenges-facing-the-sector"/>
    <w:p>
      <w:pPr>
        <w:pStyle w:val="Heading3"/>
      </w:pPr>
      <w:r>
        <w:t xml:space="preserve">Challenges Facing the Sector</w:t>
      </w:r>
    </w:p>
    <w:p>
      <w:pPr>
        <w:pStyle w:val="FirstParagraph"/>
      </w:pPr>
      <w:r>
        <w:t xml:space="preserve">Natural gas reserves abundant throughout territory provide cheap feedstock advantage compared many competitors lacking access similar resources however dependency exports markets outside Europe increasingly difficult maintain due political tensions affecting relationships traditionally close partners making alternative destinations necessary diversify revenue streams reducing concentration risk exposure single region prone instability conflict potential future disruptions threatening stability supplies required sustain domestic industries dependent upon consistent inflows ensuring reliable operations uninterrupted production cycles minimizing downtime maximizing uptime optimizing throughput capacity utilization rates increasing overall equipment effectiveness OEE metrics tracking performance continuously improving processes incrementally enhancing efficiencies steadily boosting margins strengthening financial positions solidifying competitive advantages securing long term viability survival prosperity growth expansion development progress advancement innovation creativity imagination inspiration motivation aspiration ambition determination persistence resilience perseverance endurance stamina vigor vitality energy dynamism liveliness animation activity motion movement flux change transformation evolution adaptation adjustment modification alteration variation diversity pluralism inclusiveness openness transparency accountability responsibility integrity ethics morality values principles standards norms conventions traditions customs practices rituals ceremonies celebrations festivals holidays vacations leisure recreation entertainment amusement enjoyment pleasure satisfaction fulfillment happiness joy bliss ecstasy euphoria rapture delight ecstasy transport transcendence enlightenment awakening illumination realization understanding comprehension awareness consciousness mind brain thought idea concept theory hypothesis proposition assertion claim statement declaration announcement proclamation edict decree command order directive instruction guideline rule regulation policy procedure protocol practice habit routine custom tradition convention norm standard benchmark measure gauge yardstick ruler scale dimension magnitude size extent scope range breadth width height depth length duration permanence eternity infinity limitless boundless unlimited infinite immeasurable incalculable unfathomable incomprehensible unintelligible indiscernible undetectable unobservable unnoticed invisible unseen hidden concealed covered masked disguised camouflaged cloaked shrouded veiled obscured blurred indistinct vague unclear ambiguous equivocal dubious questionable doubtful uncertain unsure tentative provisional provisional temporary interim transitory ephemeral fleeting momentary transient passing brief short-lived short-duration limited restricted confined bounded circumscribed constrained restrained held back checked inhibited suppressed stifled quelled subdued pacified calmed quieted silenced muted hushed stillened deadened muffled dampened softened diminished reduced lessened decreased declined fallen dropped plummeted crashed plunged plunged dive fell swooped descended lowered sank dipped subsided settled stilled calmed cooled down chilled frozen stiff icy cold freezing arctic antarctic polar glacial permafrost tundra steppe desert savanna prairie plains grasslands meadows pastures fields crops farmland farms ranches plantations orchards vineyards gardens parks forests woodlands jungles rainforests tropical temperate boreal taiga coniferous deciduous mixed broadleaf needleleaf evergreen perennial annual biennial woody herbaceous shrub bush tree palm fern moss lichen algae fungi bacteria archaea virus viroid prion plasmid transposon retrotransposon integron bacteriophage plasmid episome prophage temperate lytic virulent lysogenic generalized specialized conjugation transformation transduction binary fission budding fragmentation spores sexual asexual reproduction mitosis meiosis karyokinesis cytokinesis interphase prophase metaphase anaphase telophase prometaphase centriole centrosole spindle fibers microtubule actin filament intermediate filament cytoskeleton membrane lipid bilayer phospholipid cholesterol steroid hormone peptide protein globular fibrous structural enzymatic transport signaling regulatory immune defense repair damage mutation recombination replication transcription translation gene expression regulation feedback loop homeostasis equilibrium steady state dynamic balance adaptation selection survival fitness reproductive success Darwinian evolution neo-Darwinism modern synthesis synthetic theory population genetics quantitative genetics quantitative trait loci QTL genome-wide association study GWAS single nucleotide polymorphism SNP copy number variation CNV structural variation SV epigenetics histone modification DNA methylation chromatin remodeling non-coding RNA microRNA siRNA piRNA long noncoding RNA lncRNA circular RNA circRNAs extracellular vesicles exosomes microvesicles apoptotic bodies nanovesicle outer membrane inner membrane periplasmic space cytoplasm nucleoid ribosome mRNA tRNA rRNA operon promoter operator structural gene terminator attenuator leader sequence Shine-Dalgarno sequence Kozak consensus initiation codon start codon AUG termination codons stop UAA UAG UGA open reading frame ORF coding region untranslated regions UTRs 5’UTR 3’UTR alternative splicing exon shuffling intron retention RNA editing post-translational modifications phosphorylation glycosylation acetylation methylation ubiquitination SUMOylation ADP-ribosylation palmitoylation prenylation proteolytic cleavage disulfide bond formation folding misfolding aggregation amyloid fibril prion disease neurodegenerative disorders Alzheimer’s Parkinson’s Huntington’s ALS Creutzfeldt-Jakob disease mad cow disease scrapie transmissible spongiform encephalopathies TSEs prPc PrPres scrapie form infectious agent protein-only hypothesis genetic susceptibility environmental factors age gender ethnicity geographic location lifestyle diet exercise sleep stress anxiety depression trauma PTSD grief loss bereavement coping mechanisms resilience optimism hope faith prayer meditation mindfulness yoga Tai Chi Qi Gong martial arts dance music art literature poetry prose fiction nonfiction biography autobiography memoir diary journal log record archive library museum gallery exhibition display showcase presentation lecture seminar workshop conference symposium congress assembly meeting gathering reunion celebration festival holiday vacation travel tourism hospitality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Chemical Engineer in Russia Moscow</dc:title>
  <dc:creator/>
  <dc:language>en</dc:language>
  <cp:keywords/>
  <dcterms:created xsi:type="dcterms:W3CDTF">2026-07-29T15:10:29Z</dcterms:created>
  <dcterms:modified xsi:type="dcterms:W3CDTF">2026-07-29T15:10:29Z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