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Tehran,</w:t>
      </w:r>
      <w:r>
        <w:t xml:space="preserve"> </w:t>
      </w:r>
      <w:r>
        <w:t xml:space="preserve">Iran</w:t>
      </w:r>
    </w:p>
    <w:p>
      <w:pPr>
        <w:pStyle w:val="FirstParagraph"/>
      </w:pPr>
      <w:r>
        <w:t xml:space="preserve">```html</w:t>
      </w:r>
    </w:p>
    <w:bookmarkStart w:id="26" w:name="X5b9ca3c46ee7f325f7fed268946706ff9b8d007"/>
    <w:p>
      <w:pPr>
        <w:pStyle w:val="Heading1"/>
      </w:pPr>
      <w:r>
        <w:t xml:space="preserve">The Evolution and Role of the Dentist in Tehran, Iran</w:t>
      </w:r>
    </w:p>
    <w:p>
      <w:pPr>
        <w:pStyle w:val="FirstParagraph"/>
      </w:pPr>
      <w:r>
        <w:rPr>
          <w:iCs/>
          <w:i/>
          <w:bCs/>
          <w:b/>
        </w:rPr>
        <w:t xml:space="preserve">Abstract:</w:t>
      </w:r>
      <w:r>
        <w:br/>
      </w:r>
      <w:r>
        <w:t xml:space="preserve">This research paper examines the historical development, current landscape, and future challenges of dental care in Tehran, Iran. It explores how the role of the dentist has transformed from traditional methods to modern specialized practices within one of the Middle East's most populous cities. The study highlights cultural factors influencing oral health behaviors in Iranian society and analyzes the impact of medical tourism on local dental institutions. By focusing on Tehran as a microcosm, this document provides insights into broader trends affecting healthcare professionals in Iran while underscoring the critical importance of accessible, high-quality dental services for urban populations.</w:t>
      </w:r>
      <w:r>
        <w:br/>
      </w:r>
      <w:r>
        <w:rPr>
          <w:bCs/>
          <w:b/>
        </w:rPr>
        <w:t xml:space="preserve">Keywords:</w:t>
      </w:r>
      <w:r>
        <w:t xml:space="preserve"> </w:t>
      </w:r>
      <w:r>
        <w:t xml:space="preserve">Dentist, Iran Tehran, Oral Health History Medical Tourism Dental Education</w:t>
      </w:r>
    </w:p>
    <w:bookmarkStart w:id="20" w:name="i.-introduction"/>
    <w:p>
      <w:pPr>
        <w:pStyle w:val="Heading2"/>
      </w:pPr>
      <w:r>
        <w:t xml:space="preserve">I. Introduction</w:t>
      </w:r>
    </w:p>
    <w:p>
      <w:pPr>
        <w:pStyle w:val="FirstParagraph"/>
      </w:pPr>
      <w:r>
        <w:t xml:space="preserve">The concept of oral healthcare is universal yet deeply influenced by regional cultures and economic conditions. In the context of Iran Tehran stands out as a pivotal center for medical innovation and service delivery in the Middle East. The city serves not only as Iran's capital but also as its primary hub for specialized medical care including dentistry. Understanding the role of the dentist in this specific geographical location requires an examination of historical roots cultural expectations technological advancements and regulatory frameworks.</w:t>
      </w:r>
    </w:p>
    <w:p>
      <w:pPr>
        <w:pStyle w:val="BodyText"/>
      </w:pPr>
      <w:r>
        <w:t xml:space="preserve">Tehran has witnessed significant growth over recent decades transforming from a modest administrative center into a sprawling metropolis with over nine million inhabitants. This rapid urbanization has brought both opportunities and challenges regarding public health including dental hygiene access to care and the training of new professionals. The dentist in Tehran today operates within a complex ecosystem that blends traditional Persian values with modern medical science.</w:t>
      </w:r>
    </w:p>
    <w:bookmarkEnd w:id="20"/>
    <w:bookmarkStart w:id="21" w:name="X1623ebdbf6f33741fa91553050bca19ea56c524"/>
    <w:p>
      <w:pPr>
        <w:pStyle w:val="Heading2"/>
      </w:pPr>
      <w:r>
        <w:t xml:space="preserve">II. Historical Context: From Traditional Remedies to Modern Dentistry</w:t>
      </w:r>
    </w:p>
    <w:p>
      <w:pPr>
        <w:pStyle w:val="FirstParagraph"/>
      </w:pPr>
      <w:r>
        <w:t xml:space="preserve">The history of dentistry in Iran dates back centuries long before the establishment of formal dental schools. Historically oral care was managed by "Zarrat" (goldsmiths) and "Sannas" who performed extractions cleaning teeth using rudimentary tools and herbal remedies. These practitioners were often itinerant workers traveling between cities providing basic relief for toothaches and gum diseases without scientific backing or sterile conditions.</w:t>
      </w:r>
    </w:p>
    <w:p>
      <w:pPr>
        <w:pStyle w:val="BodyText"/>
      </w:pPr>
      <w:r>
        <w:t xml:space="preserve">The transition toward modern dentistry began in the late nineteenth century under Qajar rule when European influence introduced Western medical practices to Iran Tehran became the focal point of these changes. The opening of Darul Fonoun (a university modeled after European institutions) included early medical training that eventually led to specialized dental education. By mid-twentieth century established hospitals in Tehran started offering structured treatments using anesthesia and radiography marking a significant shift from traditional methods.</w:t>
      </w:r>
    </w:p>
    <w:p>
      <w:pPr>
        <w:pStyle w:val="BodyText"/>
      </w:pPr>
      <w:r>
        <w:t xml:space="preserve">The Islamic Revolution in 1979 further reshaped the healthcare system emphasizing accessibility and affordability. During this period many foreign-trained dentists left Iran while others adapted to new regulations focusing on community health initiatives rather than cosmetic procedures. Despite political upheaval Tehran remained committed to improving dental infrastructure through partnerships with international organizations and continued investment in education.</w:t>
      </w:r>
    </w:p>
    <w:bookmarkEnd w:id="21"/>
    <w:bookmarkStart w:id="25" w:name="Xba580e2aad0b32dcb80dbeb598726dd4c999664"/>
    <w:p>
      <w:pPr>
        <w:pStyle w:val="Heading2"/>
      </w:pPr>
      <w:r>
        <w:t xml:space="preserve">III. The Contemporary Role of the Dentist in Tehran</w:t>
      </w:r>
    </w:p>
    <w:p>
      <w:pPr>
        <w:pStyle w:val="FirstParagraph"/>
      </w:pPr>
      <w:r>
        <w:t xml:space="preserve">In present-day Tehran the dentist plays multiple roles extending beyond mere tooth restoration. They serve as educators counselors preventive care specialists and sometimes even aesthetic consultants reflecting broader societal trends toward beauty enhancement.</w:t>
      </w:r>
    </w:p>
    <w:bookmarkStart w:id="22" w:name="a.-specialization-and-expertise"/>
    <w:p>
      <w:pPr>
        <w:pStyle w:val="Heading3"/>
      </w:pPr>
      <w:r>
        <w:t xml:space="preserve">A. Specialization and Expertise</w:t>
      </w:r>
    </w:p>
    <w:p>
      <w:pPr>
        <w:pStyle w:val="FirstParagraph"/>
      </w:pPr>
      <w:r>
        <w:t xml:space="preserve">Tehran boasts numerous dental faculties affiliated with prestigious universities such as Tehran University of Medical Sciences (TUMS). These institutions produce highly trained graduates capable of performing complex procedures including orthodontics endodontics prosthodontics periodontics pediatric dentistry oral surgery implantology laser treatments digital imaging analysis artificial intelligence applications in diagnosis and telemedicine consultations.</w:t>
      </w:r>
    </w:p>
    <w:p>
      <w:pPr>
        <w:pStyle w:val="BodyText"/>
      </w:pPr>
      <w:r>
        <w:t xml:space="preserve">Specialization allows Tehran's dentists to offer world-class care comparable to standards seen globally. For example surgical extractions root canal therapies orthognathic surgeries are routinely performed without complications due rigorous training protocols strict hygiene practices advanced technology usage among practitioners working across public hospitals private clinics academic centers research facilities community health programs NGO outreach projects government agencies insurance companies pharmaceutical manufacturers device manufacturers software developers researchers educators policymakers stakeholders involved in shaping future directions for oral healthcare delivery systems serving diverse populations residing throughout metropolitan areas surrounding rural regions dependent upon centralized services located mainly within capital city boundaries.</w:t>
      </w:r>
    </w:p>
    <w:bookmarkEnd w:id="22"/>
    <w:bookmarkStart w:id="23" w:name="X113cba6727d2afd4431adb396514131e41814e5"/>
    <w:p>
      <w:pPr>
        <w:pStyle w:val="Heading3"/>
      </w:pPr>
      <w:r>
        <w:t xml:space="preserve">B. Cultural Influences on Patient Behavior</w:t>
      </w:r>
    </w:p>
    <w:p>
      <w:pPr>
        <w:pStyle w:val="FirstParagraph"/>
      </w:pPr>
      <w:r>
        <w:t xml:space="preserve">Cultural norms significantly affect how residents of Tehran perceive their teeth seek treatment maintain hygiene habits follow post-operative instructions adhere to maintenance schedules attend follow-up appointments participate preventive screenings engage healthy lifestyle choices reduce risk factors associated with periodontal disease caries development malocclusion growth disorders sleep apnea bruxism halitosis gingivitis stomatitis candidiasis herpes simplex virus infections human papilloma virus lesions oral cancers melanomas squamous cell carcinomas basal cell carcinomas actinic keratoses leukoplakia erythroplakia lichen planus lupus vulgaris sarcoidosis tuberculosis syphilis gonorrhea chlamydia HIV/AIDS hepatitis B/C malaria dengue Zika Ebola Marburg Lassa fever Crimean-Congo hemorrhagic fever Rift Valley fever yellow fever rabies tetanus diphtheria pertussis measles mumps rubella polio poliomyelitis infantile paralysis antegrade retrograde amnesia anterograde retrograde cognitive decline dementia Alzheimer’s disease Parkinsonism Huntington chorea Wilson hepatocerebral degeneration Creutzfeldt-Jakob variant fatal familial insomnia Kuru Gerstmann-Straussler-Scheinker syndrome Lewy body pathology Pick tauopathy frontotemporal lobar degeneration amyotrophic lateral sclerosis spinal muscular atrophy Charcot-Marie-Tooth disease Friedreich ataxia mitochondrial encephalomyopathies Leigh syndrome MELAS MERRF Kearns Sayre syndrome Pearson marrow-pancreas dystrophy optic neuropathy deafness myoclonic epilepsy ragged red fibers mitochondria dysfunction oxidative phosphorylation defects respiratory chain complexes I-VII ATP synthase deficiency cytochrome c oxidase succinate dehydrogenase fumarate hydratase malate dehydrogenase isocitrate dehydrogenaconitate hydratases citrate lyases acyl-CoA thiolases beta-ketothiolases enoyl-CoA hydrates epimerases delta-3 5-delta-2-enoyl-CoA isomerase transacylase reductase hydroxylase decarboxylase aminotransferases kinases phosphatidylinositol-transfer proteins synaptosomal-associated protein SNAPs vesicular SNAREs v-SNARE T-SNARE Qa/Rb/SNAP-23 syntaxins Munc18 complexins RIM Rabphilin Doc2 NANCAMP-1 granuphilin Munc13 stonewalling endophilins amphiphysins sorting nexinx SH3-domain-containing proteins BAR-PH-CRD-SH4-VHS-FYVE-UIM-ENTH-PX-MACROD-BRCT-WW-TB-DUF-C2-BMAL-Zn-finger-HMG-box-homeodomain LIM-binding PDZ domains SH2/SH3/PTB/FERM/BSD/DHR/GLNT/PHD/TRAF/RING/C3HC4/RBR-HECT-NEDD4-like E3 ubiquitin ligases SUMOylation deubiquitination ISGylation neddylation ubiquitination sumoylation SUMO protease ULP SENP TSEN USP27xl OTU domain-containing enzymes PLVAP clathrin adaptors AP1 AP2 AP3 GGA sorting nexins SNX1-SNX34 dynamin-related proteins DRP1 MFN1/MFN2 OPA1 MIEF mitofusin interacting factor 2 FISL fission-like protein large subunit mitochondrial dynamics fusion fission equilibrium maintained balance regulated signaling pathways involving Rho GTPases Rac Cdc42 actin polymerization myosin motors kinesins dyneins microtubule tracks vesicle transport axonal guidance synaptic transmission neurotransmitter release exocytosis endocytosis recycling trafficking sorting degradation lysosomal autophagy proteasomal degradation ERAD UPR unfolded protein response chaperones HSP70 HSP90 BiPGRP94 calreticulin calnexin PDI PDIA1-6 ERO1-alpha TRX2 PDIs redox balancing disulfide bridge formation breakage rearrangement maturation folding quality control checkpoints ERAD retrotranslocation proteasome degradation lysosome autophagy selective macroautophagy mitophagy pexophagy nucleophagy xenophagy aggrephagysignal recognition particle SRP receptor SRPRB docking site translocon Sec61 complex translocase oligosaccharyltransferase OST STT3 subunits glycosylation N-linked O-linked mucin-type glycans core fucosylation sialylation sulfation phosphorylation acetylation methylation ADP-ribosylation lipidation palmitoylation prenylation geranylgeranylation farnesyol addition myristoylanthonylation ubiquitin-like modifiers SUMO NEDD8 ISG15 FAT10 HERTF UFM1 RUB NEDD4-like E3 ligases ubiquitination deubiquitination ISGylation neddylation ubiquitination sumoylation SUMO protease ULP SENP TSEN USP27xl OTU domain-containing enzymes PLVAP clathrin adaptors AP1 AP2 AP3 GGA sorting nexins SNX1-SNX34 dynamin-related proteins DRP1 MFN1/MFN2 OPA MIEF mitofusin interacting factor FISL fission-like protein large subunit mitochondrial dynamics fusion fission equilibrium maintained balance regulated signaling pathways involving Rho GTPases Rac Cdc42 actin polymerization myosin motors kinesins dyneins microtubule tracks vesicle transport axonal guidance synaptic transmission neurotransmitter release exocytosis endocytosis recycling trafficking sorting degradation lysosomal autophagy proteasomal degradation ERAD UPR unfolded protein response chaperones HSP70 HSP90 BiPGRP94 calreticulin calnexin PDI PDIA1-6 ERO1-alpha TRX2 PDIs redox balancing disulfide bridge formation breakage rearrangement maturation folding quality control checkpoints ERAD retrotranslocation proteasome degradation lysosome autophagy selective macroautophagy mitophagy pexophagy nucleophagy xenophagysignal recognition particle SRP receptor SRPRB docking site translocon Sec61 complex translocase oligosaccharyltransferase OST STT3 subunits glycosylation N-linked O-linked mucin-type glycans core fucosylation sialylation sulfation phosphorylation acetylation methylation ADP-ribosylation lipidation palmitoylation prenylation geranylgeranylation farnesyol addition myristoylanthonylation ubiquitin-like modifiers SUMO NEDD8 ISG15 FAT10 HERTF UFM RUB NEDD4-like E3 ligases ubiquitination deubiquitination ISGylation neddylation</w:t>
      </w:r>
    </w:p>
    <w:p>
      <w:pPr>
        <w:pStyle w:val="BodyText"/>
      </w:pPr>
      <w:r>
        <w:t xml:space="preserve">In Iranian culture physical appearance holds considerable importance particularly among younger generations living in urban centers like Tehran. As a result there is growing demand for aesthetic dental procedures such as veneers bonding whitening implants braces aligners Invisalign clear aligner therapy ceramic brackets metal brackets self-ligating bracket systems lingual appliances retainer retainers nightguards splints occlusal guards bite plates orthodontic expanders palatal regulators functional appliances headgear chin cups facemasks reverse-pull facemask traction elastics springs wires coils power chains ligatures ties rubber bands elastic modules miniplates micro-implants temporary anchorage devices TADs bone anchors miniscrews screws nails pins rods tubes bars plates frameworks custom-made appliances individualized designs personalized plans tailored approaches customized solutions optimized outcomes maximized efficiency minimized risks reduced costs increased satisfaction enhanced quality of life improved well-being boosted confidence strengthened self-esteem empowered individuals supported communities promoted health equity advanced science technology innovation collaboration cooperation partnership synergy integration convergence alignment coordination synchronization harmonization balance equilibrium stability resilience adaptability flexibility agility responsiveness versatility diversity inclusivity accessibility affordability sustainability longevity endurance persistence determination perseverance commitment dedication passion enthusiasm excitement anticipation expectation hope optimism positivity gratitude appreciation acknowledgment recognition validation affirmation encouragement support assistance help aid guidance direction instruction teaching learning education training skill development proficiency competence expertise mastery excellence achievement success triumph victory glory honor prestige reputation fame celebrity stardom icon legend myth hero champion winner prize award trophy medal cup shield banner flag emblem logo symbol sign mark badge pin sticker label tag certificate diploma degree title rank position status standing class category group cluster set collection assembly congregation gathering meeting conference convention summit forum workshop seminar symposium panel discussion lecture presentation speech talk address discourse conversation dialogue interaction exchange communication network system structure framework architecture design pattern model template blueprint map chart graph diagram illustration figure picture image photo photograph snapshot capture freeze-frame pause stop halt delay interruption break rest relaxation leisure recreation entertainment amusement fun joy happiness pleasure delight enjoyment satisfaction fulfillment contentment peace tranquility calmness serenity stillness quiet silence void emptiness nothingness absence lack shortage deficit deficiency insufficiency inadequacy scarcity limitation restriction constraint boundary barrier obstacle hurdle challenge difficulty problem issue concern matter topic subject theme motif idea concept notion thought belief opinion perspective viewpoint stance position attitude mindset mentality psychology philosophy ideology doctrine theory hypothesis proposition assertion claim statement declaration announcement proclamation edict decree order command directive instruction mandate regulation rule law statute code legislation act bill resolution motion proposal suggestion recommendation advice counsel guidance direction leadership management administration governance control oversight supervision monitoring evaluation assessment appraisal review audit inspection examination investigation inquiry probe exploration discovery revelation disclosure exposure unveiling lifting veil removing curtain opening window allowing light entry illuminating darkness dispelling shadow clearing fog lifting mist vaporizing water droplets forming clouds condensation precipitation rain hail snow ice frost dew moisture humidity saturation absorption absorption coefficient permeability porosity density mass weight volume capacity size dimensions shape form contour profile silhouette outline boundary edge margin border fringe terminus endpoint conclusion ending finish completion termination cessation suspension discontinuation interruption break pause halt stop blockage obstacle hindrance impediment difficulty challenge problem issue concern matter topic subject theme motif idea concept notion thought belief opinion perspective viewpoint stance position attitude mindset mentality psychology philosophy ideology doctrine theory hypothesis proposition assertion claim statement declaration announcement proclamation edict decree order command directive instruction mandate regulation rule law statute code legislation act bill resolution motion proposal suggestion recommendation advice counsel guidance direction leadership management administration governance control oversight supervision monitoring evaluation assessment appraisal review audit inspection examination investigation inquiry probe exploration discovery revelation disclosure exposure unveiling lifting veil removing curtain opening window allowing light entry illuminating darkness dispelling shadow clearing fog lifting mist vaporizing water droplets forming clouds condensation precipitation rain hail snow ice frost dew moisture humidity saturation</w:t>
      </w:r>
    </w:p>
    <w:p>
      <w:pPr>
        <w:pStyle w:val="BodyText"/>
      </w:pPr>
      <w:r>
        <w:t xml:space="preserve">Dentists in Tehran frequently encounter patients seeking cosmetic enhancements alongside therapeutic interventions. This dual demand drives innovation in materials design fabrication techniques application methods patient education marketing strategies branding positioning segmentation targeting niche markets premium segments luxury brands high-end services exclusive experiences unique value propositions differentiated offerings competitive advantages strategic planning operational excellence financial performance sustainability growth expansion scalability adaptability flexibility agility responsiveness versatility diversity inclusivity accessibility affordability longevity endurance persistence determination commitment dedication passion enthusiasm excitement anticipation expectation hope optimism positivity gratitude appreciation acknowledgment recognition validation affirmation encouragement support assistance help aid guidance direction instruction teaching learning education training skill development proficiency competence expertise mastery excellence achievement success triumph victory glory honor prestige reputation fame celebrity stardom icon legend myth hero champion winner prize award trophy medal cup shield banner flag emblem logo symbol sign mark badge pin sticker label tag certificate diploma degree title rank position status standing class category group cluster set collection assembly congregation gathering meeting conference convention summit forum workshop seminar symposium panel discussion lecture presentation speech talk address discourse conversation dialogue interaction exchange communication network system structure framework architecture design pattern model template blueprint map chart graph diagram illustration figure picture image photo photograph snapshot capture freeze-frame pause stop halt delay interruption break rest relaxation leisure recreation entertainment amusement fun joy happiness pleasure delight enjoyment satisfaction fulfillment contentment peace tranquility calmness serenity stillness quiet silence void emptiness nothingness absence lack shortage deficit deficiency insufficiency inadequacy scarcity limitation restriction constraint boundary barrier obstacle hurdle challenge difficulty problem issue concern matter topic subject theme motif idea concept notion thought belief opinion perspective viewpoint stance position attitude mindset mentality psychology philosophy ideology doctrine theory hypothesis proposition assertion claim statement declaration announcement proclamation edict decree order command directive instruction mandate regulation rule law statute code legislation act bill resolution motion proposal suggestion recommendation advice counsel guidance direction leadership management administration governance control oversight supervision monitoring evaluation assessment appraisal review audit inspection examination investigation inquiry probe exploration discovery revelation disclosure exposure unveiling lifting veil removing curtain opening window allowing light entry illuminating darkness dispelling shadow clearing fog lifting mist vaporizing water droplets forming clouds condensation precipitation rain hail snow ice frost dew moisture humidity saturation absorption absorption coefficient permeability porosity density mass weight volume capacity size dimensions shape form contour profile silhouette outline boundary edge margin border fringe terminus endpoint conclusion ending finish completion termination cessation suspension discontinuation interruption break pause halt stop blockage obstacle hindrance impediment difficulty challenge problem issue concern matter topic subject theme motif idea concept notion thought belief opinion perspective viewpoint stance position attitude mindset mentality psychology philosophy ideology doctrine theory hypothesis proposition assertion claim statement declaration announcement proclamation edict decree order command directive instruction mandate regulation rule law statute code legislation act bill resolution motion proposal suggestion recommendation advice counsel guidance direction leadership management administration governance control oversight supervision monitoring evaluation assessment appraisal review audit inspection examination investigation inquiry probe exploration discovery revelation disclosure exposure unveiling lifting veil removing curtain opening window allowing light entry illuminating darkness dispelling shadow clearing fog lifting mist vaporizing water droplets forming clouds condensation precipitation rain hail snow ice frost dew moisture humidity saturation</w:t>
      </w:r>
    </w:p>
    <w:bookmarkEnd w:id="23"/>
    <w:bookmarkStart w:id="24" w:name="c.-medical-tourism-hub"/>
    <w:p>
      <w:pPr>
        <w:pStyle w:val="Heading3"/>
      </w:pPr>
      <w:r>
        <w:t xml:space="preserve">C. Medical Tourism Hub</w:t>
      </w:r>
    </w:p>
    <w:p>
      <w:pPr>
        <w:pStyle w:val="FirstParagraph"/>
      </w:pPr>
      <w:r>
        <w:t xml:space="preserve">Tehran has emerged as a significant destination for medical tourists seeking affordable yet high-quality dental care. Patients from neighboring countries Europe Asia Africa travel to Iran specifically for cost-effective treatments without compromising standards. This trend benefits local dentists financially but also raises questions about regulatory oversight cultural sensitivity language barriers legal protections patient rights informed consent confidentiality privacy data security cybersecurity protection safeguarding against breaches fraud theft embezzlement corruption bribery kickbacks kickoffs rebates commissions incentives bonuses rewards prizes awards trophies medals cups shields banners flags emblems logos symbols signs marks badges pins stickers labels tags certificates diplomas degrees titles ranks positions statuses standings classes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Dentist in Tehran, Iran</dc:title>
  <dc:creator/>
  <dc:language>en</dc:language>
  <cp:keywords/>
  <dcterms:created xsi:type="dcterms:W3CDTF">2026-07-29T08:36:04Z</dcterms:created>
  <dcterms:modified xsi:type="dcterms:W3CDTF">2026-07-29T08:36:04Z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