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The</w:t>
      </w:r>
      <w:r>
        <w:t xml:space="preserve"> </w:t>
      </w:r>
      <w:r>
        <w:t xml:space="preserve">Strategic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Diplomat</w:t>
      </w:r>
      <w:r>
        <w:t xml:space="preserve"> </w:t>
      </w:r>
      <w:r>
        <w:t xml:space="preserve">in</w:t>
      </w:r>
      <w:r>
        <w:t xml:space="preserve"> </w:t>
      </w:r>
      <w:r>
        <w:t xml:space="preserve">Argentina</w:t>
      </w:r>
      <w:r>
        <w:t xml:space="preserve"> </w:t>
      </w:r>
      <w:r>
        <w:t xml:space="preserve">Buenos</w:t>
      </w:r>
      <w:r>
        <w:t xml:space="preserve"> </w:t>
      </w:r>
      <w:r>
        <w:t xml:space="preserve">Aires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The Strategic Role of the Diplomat in Argentina Buenos Aires</dc:title>
  <dc:creator/>
  <dc:language>en</dc:language>
  <cp:keywords/>
  <dcterms:created xsi:type="dcterms:W3CDTF">2026-09-28T11:04:07Z</dcterms:created>
  <dcterms:modified xsi:type="dcterms:W3CDTF">2026-09-28T11:04:07Z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