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Research</w:t>
      </w:r>
      <w:r>
        <w:t xml:space="preserve"> </w:t>
      </w:r>
      <w:r>
        <w:t xml:space="preserve">Paper:</w:t>
      </w:r>
      <w:r>
        <w:t xml:space="preserve"> </w:t>
      </w:r>
      <w:r>
        <w:t xml:space="preserve">Germany</w:t>
      </w:r>
      <w:r>
        <w:t xml:space="preserve"> </w:t>
      </w:r>
      <w:r>
        <w:t xml:space="preserve">Frankfurt</w:t>
      </w:r>
    </w:p>
    <w:p>
      <w:pPr>
        <w:pStyle w:val="FirstParagraph"/>
      </w:pPr>
      <w:r>
        <w:t xml:space="preserve">```html</w:t>
      </w:r>
    </w:p>
    <w:bookmarkStart w:id="26" w:name="X298cf193a1bd78f3508602e7d9cc2ed9b099d4e"/>
    <w:p>
      <w:pPr>
        <w:pStyle w:val="Heading1"/>
      </w:pPr>
      <w:r>
        <w:t xml:space="preserve">The Economist Perspective on Frankfurt, Germany</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Research Paper Summary</w:t>
      </w:r>
    </w:p>
    <w:p>
      <w:pPr>
        <w:pStyle w:val="BodyText"/>
      </w:pPr>
      <w:r>
        <w:rPr>
          <w:iCs/>
          <w:i/>
        </w:rPr>
        <w:t xml:space="preserve">This paper analyzes the economic landscape of Germany Frankfurt through the lens of classical and modern economic theory. It explores Frankfurt’s role as a global financial hub, its integration into the European Union’s monetary policy framework, and its future potential amidst technological shifts. The study highlights how local regulations in Germany Frankfurt interact with broader macroeconomic trends.</w:t>
      </w:r>
    </w:p>
    <w:bookmarkStart w:id="20" w:name="i.-introduction"/>
    <w:p>
      <w:pPr>
        <w:pStyle w:val="Heading2"/>
      </w:pPr>
      <w:r>
        <w:t xml:space="preserve">I. Introduction</w:t>
      </w:r>
    </w:p>
    <w:p>
      <w:pPr>
        <w:pStyle w:val="FirstParagraph"/>
      </w:pPr>
      <w:r>
        <w:t xml:space="preserve">In the realm of international finance, few cities possess the strategic weight and historical significance of Frankfurt. Often referred to as "Mainhattan" due to its skyline, Germany Frankfurt stands as a critical node in the global economic network. This research paper aims to dissect the economic dynamics that define this city-state's influence within Germany and across Europe. By applying rigorous economic analysis, we seek to understand how Frankfurt functions not merely as a financial center, but as a barometer for German industrial health and European monetary stability.</w:t>
      </w:r>
    </w:p>
    <w:p>
      <w:pPr>
        <w:pStyle w:val="BodyText"/>
      </w:pPr>
      <w:r>
        <w:t xml:space="preserve">The relevance of studying Germany Frankfurt is underscored by its unique position. It hosts the European Central Bank (ECB) and the Deutsche Bundesbank, institutions that dictate monetary policy for the Eurozone. Consequently, any fluctuation in this region sends ripples through global markets. This paper will argue that while Frankfurt is synonymous with finance, its broader economic ecosystem—comprising logistics, technology, and sustainable energy—is equally vital to its future prosperity.</w:t>
      </w:r>
    </w:p>
    <w:bookmarkEnd w:id="20"/>
    <w:bookmarkStart w:id="21" w:name="ii.-the-financial-services-sector"/>
    <w:p>
      <w:pPr>
        <w:pStyle w:val="Heading2"/>
      </w:pPr>
      <w:r>
        <w:t xml:space="preserve">II. The Financial Services Sector</w:t>
      </w:r>
    </w:p>
    <w:p>
      <w:pPr>
        <w:pStyle w:val="FirstParagraph"/>
      </w:pPr>
      <w:r>
        <w:t xml:space="preserve">The primary driver of the economy in Germany Frankfurt is undoubtedly the financial sector. With a concentration of banking assets that rivals London and New York, Frankfurt serves as the heartbeat of European capital markets. The presence of major international banks, insurance companies, and fintech startups creates a dense cluster effect, enhancing productivity and innovation.</w:t>
      </w:r>
    </w:p>
    <w:p>
      <w:pPr>
        <w:pStyle w:val="BodyText"/>
      </w:pPr>
      <w:r>
        <w:t xml:space="preserve">From an Economist perspective, we must examine the regulatory environment. Germany is known for its robust consumer protection laws and strict banking oversight. This regulatory framework ensures stability but may also pose entry barriers for smaller competitors. The paper highlights that while regulations protect systemic integrity in Germany Frankfurt, they require careful navigation by global players seeking market access.</w:t>
      </w:r>
    </w:p>
    <w:bookmarkEnd w:id="21"/>
    <w:bookmarkStart w:id="22" w:name="iii.-monetary-policy-and-the-eurozone"/>
    <w:p>
      <w:pPr>
        <w:pStyle w:val="Heading2"/>
      </w:pPr>
      <w:r>
        <w:t xml:space="preserve">III. Monetary Policy and the Eurozone</w:t>
      </w:r>
    </w:p>
    <w:p>
      <w:pPr>
        <w:pStyle w:val="FirstParagraph"/>
      </w:pPr>
      <w:r>
        <w:t xml:space="preserve">A significant portion of this research focuses on the interplay between local economic activity in Germany Frankfurt and supra-national monetary policy. As the home of the ECB, Frankfurt is intimately linked to interest rate decisions, quantitative easing measures, and inflation targets set by policymakers in Brussels.</w:t>
      </w:r>
    </w:p>
    <w:p>
      <w:pPr>
        <w:pStyle w:val="BodyText"/>
      </w:pPr>
      <w:r>
        <w:t xml:space="preserve">This section analyzes how changes in Eurozone monetary policy impact credit availability for businesses located in Frankfurt. We utilize data from recent years to demonstrate that while low-interest regimes supported real estate growth and corporate investment, they also introduced asset bubbles that require prudent management. The stability of the German Mark’s successor currency has historically attracted foreign direct investment (FDI), reinforcing Frankfurt’s status as a safe haven for capital.</w:t>
      </w:r>
    </w:p>
    <w:bookmarkEnd w:id="22"/>
    <w:bookmarkStart w:id="23" w:name="iv.-logistics-and-infrastructure"/>
    <w:p>
      <w:pPr>
        <w:pStyle w:val="Heading2"/>
      </w:pPr>
      <w:r>
        <w:t xml:space="preserve">IV. Logistics and Infrastructure</w:t>
      </w:r>
    </w:p>
    <w:p>
      <w:pPr>
        <w:pStyle w:val="FirstParagraph"/>
      </w:pPr>
      <w:r>
        <w:t xml:space="preserve">Beyond finance, Frankfurt boasts an unparalleled infrastructure network that supports its economic dominance. The city is home to the second-busiest airport in Europe, Frankfurt Airport (FRA), which serves as a global hub for passenger and cargo traffic. This logistical advantage facilitates trade flows between Asia, North America, and Continental Europe.</w:t>
      </w:r>
    </w:p>
    <w:p>
      <w:pPr>
        <w:pStyle w:val="BodyText"/>
      </w:pPr>
      <w:r>
        <w:t xml:space="preserve">The paper evaluates the economic multiplier effect of this infrastructure. High connectivity reduces transaction costs for businesses operating out of Germany Frankfurt, making it an attractive location for multinational corporations to establish their European headquarters. Furthermore, the extensive rail and road networks ensure that goods can move efficiently from ports to inland distribution centers, sustaining the region’s industrial output.</w:t>
      </w:r>
    </w:p>
    <w:bookmarkEnd w:id="23"/>
    <w:bookmarkStart w:id="24" w:name="v.-challenges-and-future-outlook"/>
    <w:p>
      <w:pPr>
        <w:pStyle w:val="Heading2"/>
      </w:pPr>
      <w:r>
        <w:t xml:space="preserve">V. Challenges and Future Outlook</w:t>
      </w:r>
    </w:p>
    <w:p>
      <w:pPr>
        <w:pStyle w:val="FirstParagraph"/>
      </w:pPr>
      <w:r>
        <w:t xml:space="preserve">Despite its strengths, the economy of Germany Frankfurt faces several challenges. The transition toward digitalization requires significant investment in cybersecurity and talent acquisition. There is a growing need for upskilling the workforce to meet the demands of a tech-driven financial services industry.</w:t>
      </w:r>
    </w:p>
    <w:p>
      <w:pPr>
        <w:pStyle w:val="BodyText"/>
      </w:pPr>
      <w:r>
        <w:t xml:space="preserve">Additionally, environmental sustainability has become a paramount concern. As global investors increasingly prioritize ESG (Environmental, Social, and Governance) criteria, Frankfurt must lead by example in green finance. This paper suggests that fostering innovation in sustainable technologies will be crucial for maintaining competitiveness against emerging hubs in Asia and North America.</w:t>
      </w:r>
    </w:p>
    <w:p>
      <w:pPr>
        <w:pStyle w:val="BodyText"/>
      </w:pPr>
      <w:r>
        <w:t xml:space="preserve">The geopolitical landscape also poses risks. Brexit shifted some financial activity away from London to Frankfurt, but recent regulatory divergences and political uncertainties within the EU could affect confidence levels. Therefore, consistent policy alignment within Germany Frankfurt remains essential for long-term growth.</w:t>
      </w:r>
    </w:p>
    <w:bookmarkEnd w:id="24"/>
    <w:bookmarkStart w:id="25" w:name="vi.-conclusion"/>
    <w:p>
      <w:pPr>
        <w:pStyle w:val="Heading2"/>
      </w:pPr>
      <w:r>
        <w:t xml:space="preserve">VI. Conclusion</w:t>
      </w:r>
    </w:p>
    <w:p>
      <w:pPr>
        <w:pStyle w:val="FirstParagraph"/>
      </w:pPr>
      <w:r>
        <w:t xml:space="preserve">In conclusion, this research paper has provided a comprehensive overview of the economic significance of Germany Frankfurt. It is clear that the city’s strength lies not only in its financial institutions but also in its strategic infrastructure and central role within the European monetary system. To sustain its position as a leading global city, Frankfurt must continue to adapt to technological advancements and environmental imperatives.</w:t>
      </w:r>
    </w:p>
    <w:p>
      <w:pPr>
        <w:pStyle w:val="BodyText"/>
      </w:pPr>
      <w:r>
        <w:t xml:space="preserve">Future research should delve deeper into specific case studies of successful fintech innovations emerging from this region. By understanding these dynamics, policymakers and investors can better navigate the complex economic terrain that defines modern Germany Frankfurt. Ultimately, the resilience and adaptability of its economy will determine its trajectory in an increasingly interconnected world.</w:t>
      </w:r>
    </w:p>
    <w:bookmarkEnd w:id="25"/>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Research Paper: Germany Frankfurt</dc:title>
  <dc:creator/>
  <dc:language>en</dc:language>
  <cp:keywords/>
  <dcterms:created xsi:type="dcterms:W3CDTF">2026-07-29T21:11:24Z</dcterms:created>
  <dcterms:modified xsi:type="dcterms:W3CDTF">2026-07-29T21:11:24Z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