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Japan,</w:t>
      </w:r>
      <w:r>
        <w:t xml:space="preserve"> </w:t>
      </w:r>
      <w:r>
        <w:t xml:space="preserve">Kyoto</w:t>
      </w:r>
    </w:p>
    <w:bookmarkStart w:id="28" w:name="Xef70f59039de162894e32cce062c740b061f37e"/>
    <w:p>
      <w:pPr>
        <w:pStyle w:val="Heading1"/>
      </w:pPr>
      <w:r>
        <w:t xml:space="preserve">The Role and Evolution of the Education Administrator in Japan, Kyoto</w:t>
      </w:r>
    </w:p>
    <w:p>
      <w:pPr>
        <w:pStyle w:val="FirstParagraph"/>
      </w:pPr>
      <w:r>
        <w:rPr>
          <w:bCs/>
          <w:b/>
        </w:rPr>
        <w:t xml:space="preserve">Abstract:</w:t>
      </w:r>
    </w:p>
    <w:p>
      <w:pPr>
        <w:pStyle w:val="BodyText"/>
      </w:pPr>
      <w:r>
        <w:t xml:space="preserve">This research paper examines the multifaceted role of the</w:t>
      </w:r>
      <w:r>
        <w:t xml:space="preserve"> </w:t>
      </w:r>
      <w:r>
        <w:rPr>
          <w:bCs/>
          <w:b/>
        </w:rPr>
        <w:t xml:space="preserve">Education Administrator</w:t>
      </w:r>
      <w:r>
        <w:t xml:space="preserve"> </w:t>
      </w:r>
      <w:r>
        <w:t xml:space="preserve">within the unique cultural and historical context of</w:t>
      </w:r>
      <w:r>
        <w:t xml:space="preserve"> </w:t>
      </w:r>
      <w:r>
        <w:rPr>
          <w:bCs/>
          <w:b/>
        </w:rPr>
        <w:t xml:space="preserve">JAPAN KYOTO</w:t>
      </w:r>
      <w:r>
        <w:t xml:space="preserve">. As Kyoto serves as both a repository of traditional Japanese heritage and a modern center for technological innovation, its educational landscape presents distinct challenges. This document analyzes how education administrators in this region must balance pedagogical excellence with fiscal responsibility, community engagement, and the preservation of cultural identity. By exploring specific case studies and policy frameworks unique to</w:t>
      </w:r>
      <w:r>
        <w:t xml:space="preserve"> </w:t>
      </w:r>
      <w:r>
        <w:rPr>
          <w:bCs/>
          <w:b/>
        </w:rPr>
        <w:t xml:space="preserve">JAPAN KYOTO</w:t>
      </w:r>
      <w:r>
        <w:t xml:space="preserve">, this paper highlights the critical importance of strategic leadership in shaping future-ready educational environments while honoring local traditions.</w:t>
      </w:r>
    </w:p>
    <w:bookmarkStart w:id="20" w:name="introduction"/>
    <w:p>
      <w:pPr>
        <w:pStyle w:val="Heading2"/>
      </w:pPr>
      <w:r>
        <w:t xml:space="preserve">1. Introduction</w:t>
      </w:r>
    </w:p>
    <w:p>
      <w:pPr>
        <w:pStyle w:val="FirstParagraph"/>
      </w:pPr>
      <w:r>
        <w:t xml:space="preserve">The landscape of education is undergoing a profound transformation globally, driven by digitalization, demographic shifts, and changing labor market demands. Nowhere is this tension between tradition and innovation more palpable than in</w:t>
      </w:r>
      <w:r>
        <w:t xml:space="preserve"> </w:t>
      </w:r>
      <w:r>
        <w:rPr>
          <w:bCs/>
          <w:b/>
        </w:rPr>
        <w:t xml:space="preserve">JAPAN KYOTO</w:t>
      </w:r>
      <w:r>
        <w:t xml:space="preserve">. As the former imperial capital of Japan, Kyoto possesses a dense concentration of historical institutions, cultural landmarks that attract global tourism, and a growing tech sector focused on robotics and artificial intelligence. Within this complex ecosystem, the</w:t>
      </w:r>
      <w:r>
        <w:t xml:space="preserve"> </w:t>
      </w:r>
      <w:r>
        <w:rPr>
          <w:bCs/>
          <w:b/>
        </w:rPr>
        <w:t xml:space="preserve">Education Administrator</w:t>
      </w:r>
      <w:r>
        <w:t xml:space="preserve"> </w:t>
      </w:r>
      <w:r>
        <w:t xml:space="preserve">emerges as a pivotal figure. Unlike standard administrative roles in other regions, an education administrator operating in</w:t>
      </w:r>
      <w:r>
        <w:t xml:space="preserve"> </w:t>
      </w:r>
      <w:r>
        <w:rPr>
          <w:bCs/>
          <w:b/>
        </w:rPr>
        <w:t xml:space="preserve">JAPAN KYOTO</w:t>
      </w:r>
      <w:r>
        <w:t xml:space="preserve"> </w:t>
      </w:r>
      <w:r>
        <w:t xml:space="preserve">must navigate a dual mandate: fostering modern academic competitiveness while safeguarding the intangible cultural heritage that defines the region.</w:t>
      </w:r>
    </w:p>
    <w:p>
      <w:pPr>
        <w:pStyle w:val="BodyText"/>
      </w:pPr>
      <w:r>
        <w:t xml:space="preserve">The primary objective of this paper is to elucidate how education administrators define their scope of practice. It argues that effective administration in</w:t>
      </w:r>
      <w:r>
        <w:t xml:space="preserve"> </w:t>
      </w:r>
      <w:r>
        <w:rPr>
          <w:bCs/>
          <w:b/>
        </w:rPr>
        <w:t xml:space="preserve">JAPAN KYOTO</w:t>
      </w:r>
      <w:r>
        <w:t xml:space="preserve"> </w:t>
      </w:r>
      <w:r>
        <w:t xml:space="preserve">requires a hybrid skill set, blending bureaucratic efficiency with deep community stewardship. The following sections will explore the structural challenges, the integration of technology, and the strategic necessity of cultural preservation in educational leadership.</w:t>
      </w:r>
    </w:p>
    <w:bookmarkEnd w:id="20"/>
    <w:bookmarkStart w:id="21" w:name="X9812d82057f6e6cad6c01fc86119cdb6b84a7b5"/>
    <w:p>
      <w:pPr>
        <w:pStyle w:val="Heading2"/>
      </w:pPr>
      <w:r>
        <w:t xml:space="preserve">2. The Structural Context: Public vs. Private Dynamics</w:t>
      </w:r>
    </w:p>
    <w:p>
      <w:pPr>
        <w:pStyle w:val="FirstParagraph"/>
      </w:pPr>
      <w:r>
        <w:t xml:space="preserve">In</w:t>
      </w:r>
      <w:r>
        <w:t xml:space="preserve"> </w:t>
      </w:r>
      <w:r>
        <w:rPr>
          <w:bCs/>
          <w:b/>
        </w:rPr>
        <w:t xml:space="preserve">JAPAN KYOTO</w:t>
      </w:r>
      <w:r>
        <w:t xml:space="preserve">, the education system is a blend of rigorous national standards set by the Ministry of Education, Culture, Sports, Science and Technology (MEXT) and local autonomy granted to municipal boards. For an</w:t>
      </w:r>
      <w:r>
        <w:t xml:space="preserve"> </w:t>
      </w:r>
      <w:r>
        <w:rPr>
          <w:bCs/>
          <w:b/>
        </w:rPr>
        <w:t xml:space="preserve">Education Administrator</w:t>
      </w:r>
      <w:r>
        <w:t xml:space="preserve">, understanding this dichotomy is crucial. Kyoto City operates under specific ordinances that prioritize small-class instruction and personalized learning support more aggressively than many other prefectures.</w:t>
      </w:r>
    </w:p>
    <w:p>
      <w:pPr>
        <w:pStyle w:val="BodyText"/>
      </w:pPr>
      <w:r>
        <w:t xml:space="preserve">The role of the</w:t>
      </w:r>
      <w:r>
        <w:t xml:space="preserve"> </w:t>
      </w:r>
      <w:r>
        <w:rPr>
          <w:bCs/>
          <w:b/>
        </w:rPr>
        <w:t xml:space="preserve">Education Administrator</w:t>
      </w:r>
      <w:r>
        <w:t xml:space="preserve"> </w:t>
      </w:r>
      <w:r>
        <w:t xml:space="preserve">here involves significant resource allocation challenges. With a declining birthrate affecting enrollment numbers, administrators must make difficult decisions regarding school consolidation, facility maintenance, and staff deployment. However, because Kyoto is a tourist hub and a center for higher education (housing prestigious institutions like Kyoto University), the pressure to maintain high-quality facilities is immense. Administrators must ensure that schools are not only functional learning spaces but also safe havens that contribute to the community’s aesthetic and social fabric.</w:t>
      </w:r>
    </w:p>
    <w:bookmarkEnd w:id="21"/>
    <w:bookmarkStart w:id="22" w:name="Xb29bf95a7a660dae9e4922682261a1a399ff1a3"/>
    <w:p>
      <w:pPr>
        <w:pStyle w:val="Heading2"/>
      </w:pPr>
      <w:r>
        <w:t xml:space="preserve">3. Integrating Technology: The Digital Transformation</w:t>
      </w:r>
    </w:p>
    <w:p>
      <w:pPr>
        <w:pStyle w:val="FirstParagraph"/>
      </w:pPr>
      <w:r>
        <w:t xml:space="preserve">A critical aspect of modern educational leadership in</w:t>
      </w:r>
      <w:r>
        <w:t xml:space="preserve"> </w:t>
      </w:r>
      <w:r>
        <w:rPr>
          <w:bCs/>
          <w:b/>
        </w:rPr>
        <w:t xml:space="preserve">JAPAN KYOTO</w:t>
      </w:r>
      <w:r>
        <w:t xml:space="preserve"> </w:t>
      </w:r>
      <w:r>
        <w:t xml:space="preserve">is the push toward Digital Transformation (DX). As Kyoto positions itself as a "Smart City," education administrators are tasked with integrating artificial intelligence, data analytics, and remote learning technologies into daily operations. The</w:t>
      </w:r>
      <w:r>
        <w:t xml:space="preserve"> </w:t>
      </w:r>
      <w:r>
        <w:rPr>
          <w:bCs/>
          <w:b/>
        </w:rPr>
        <w:t xml:space="preserve">Education Administrator</w:t>
      </w:r>
      <w:r>
        <w:t xml:space="preserve"> </w:t>
      </w:r>
      <w:r>
        <w:t xml:space="preserve">is no longer just a manager of budgets and personnel but also a chief technology strategist.</w:t>
      </w:r>
    </w:p>
    <w:p>
      <w:pPr>
        <w:pStyle w:val="BodyText"/>
      </w:pPr>
      <w:r>
        <w:t xml:space="preserve">This shift requires extensive professional development for teachers. Administrators must design curricula that prepare students for a digital economy while ensuring that the "human touch" remains central to Japanese pedagogy. In</w:t>
      </w:r>
      <w:r>
        <w:t xml:space="preserve"> </w:t>
      </w:r>
      <w:r>
        <w:rPr>
          <w:bCs/>
          <w:b/>
        </w:rPr>
        <w:t xml:space="preserve">JAPAN KYOTO</w:t>
      </w:r>
      <w:r>
        <w:t xml:space="preserve">, this is particularly sensitive; technology must serve as a bridge, not a replacement, for the mentorship relationships valued in Japanese culture. Successful administrators have implemented hybrid models where administrative data is automated through cloud systems, freeing up time for educators to focus on student well-being and social-emotional learning.</w:t>
      </w:r>
    </w:p>
    <w:bookmarkEnd w:id="22"/>
    <w:bookmarkStart w:id="23" w:name="Xc8b2e6763200b7a94fc55a0d2d76951b7c63d45"/>
    <w:p>
      <w:pPr>
        <w:pStyle w:val="Heading2"/>
      </w:pPr>
      <w:r>
        <w:t xml:space="preserve">4. Cultural Stewardship: Education as Heritage Preservation</w:t>
      </w:r>
    </w:p>
    <w:p>
      <w:pPr>
        <w:pStyle w:val="FirstParagraph"/>
      </w:pPr>
      <w:r>
        <w:t xml:space="preserve">The unique identity of</w:t>
      </w:r>
      <w:r>
        <w:t xml:space="preserve"> </w:t>
      </w:r>
      <w:r>
        <w:rPr>
          <w:bCs/>
          <w:b/>
        </w:rPr>
        <w:t xml:space="preserve">JAPAN KYOTO</w:t>
      </w:r>
      <w:r>
        <w:t xml:space="preserve"> </w:t>
      </w:r>
      <w:r>
        <w:t xml:space="preserve">lies in its history. From traditional tea houses to ancient temples, the city is a living museum. The</w:t>
      </w:r>
      <w:r>
        <w:t xml:space="preserve"> </w:t>
      </w:r>
      <w:r>
        <w:rPr>
          <w:bCs/>
          <w:b/>
        </w:rPr>
        <w:t xml:space="preserve">Education Administrator</w:t>
      </w:r>
      <w:r>
        <w:t xml:space="preserve"> </w:t>
      </w:r>
      <w:r>
        <w:t xml:space="preserve">plays a vital role in curriculum design that incorporates local heritage. This is not merely about field trips; it involves interdisciplinary projects where students engage with local artisans, historians, and environmentalists.</w:t>
      </w:r>
    </w:p>
    <w:p>
      <w:pPr>
        <w:pStyle w:val="BodyText"/>
      </w:pPr>
      <w:r>
        <w:t xml:space="preserve">For instance, recent initiatives in Kyoto have seen schools collaborating with the city’s tourism board to create "heritage guides" as part of language and social studies curricula. The administrator facilitates these partnerships, securing funding and ensuring alignment with national learning objectives. By doing so, the</w:t>
      </w:r>
      <w:r>
        <w:t xml:space="preserve"> </w:t>
      </w:r>
      <w:r>
        <w:rPr>
          <w:bCs/>
          <w:b/>
        </w:rPr>
        <w:t xml:space="preserve">Education Administrator</w:t>
      </w:r>
      <w:r>
        <w:t xml:space="preserve"> </w:t>
      </w:r>
      <w:r>
        <w:t xml:space="preserve">instills a sense of pride and responsibility in students regarding their local environment. This approach addresses global citizenship by rooting it in local identity, a strategy highly effective in</w:t>
      </w:r>
      <w:r>
        <w:t xml:space="preserve"> </w:t>
      </w:r>
      <w:r>
        <w:rPr>
          <w:bCs/>
          <w:b/>
        </w:rPr>
        <w:t xml:space="preserve">JAPAN KYOTO</w:t>
      </w:r>
      <w:r>
        <w:t xml:space="preserve">.</w:t>
      </w:r>
    </w:p>
    <w:bookmarkEnd w:id="23"/>
    <w:bookmarkStart w:id="24" w:name="Xfccdae2180dbaa637843772bf8cfa041b032865"/>
    <w:p>
      <w:pPr>
        <w:pStyle w:val="Heading2"/>
      </w:pPr>
      <w:r>
        <w:t xml:space="preserve">5. Community Engagement and Stakeholder Management</w:t>
      </w:r>
    </w:p>
    <w:p>
      <w:pPr>
        <w:pStyle w:val="FirstParagraph"/>
      </w:pPr>
      <w:r>
        <w:t xml:space="preserve">In</w:t>
      </w:r>
      <w:r>
        <w:t xml:space="preserve"> </w:t>
      </w:r>
      <w:r>
        <w:rPr>
          <w:bCs/>
          <w:b/>
        </w:rPr>
        <w:t xml:space="preserve">JAPAN KYOTO</w:t>
      </w:r>
      <w:r>
        <w:t xml:space="preserve">, schools are often regarded as community centers. The concept of *Furusato* (hometown) influences how education is perceived; the school belongs to the community, and the community belongs to the school. Therefore, the</w:t>
      </w:r>
      <w:r>
        <w:t xml:space="preserve"> </w:t>
      </w:r>
      <w:r>
        <w:rPr>
          <w:bCs/>
          <w:b/>
        </w:rPr>
        <w:t xml:space="preserve">Education Administrator</w:t>
      </w:r>
      <w:r>
        <w:t xml:space="preserve"> </w:t>
      </w:r>
      <w:r>
        <w:t xml:space="preserve">must engage in extensive stakeholder management.</w:t>
      </w:r>
    </w:p>
    <w:p>
      <w:pPr>
        <w:pStyle w:val="BodyText"/>
      </w:pPr>
      <w:r>
        <w:t xml:space="preserve">This includes liaising with local religious institutions, neighborhood associations (*chonaikai*), and parent-teacher organizations. Decisions regarding school closures or curriculum changes cannot be made in isolation. The administrator must act as a diplomat, mediating between parental expectations for academic excellence and the community’s desire for schools to serve broader social functions, such as disaster preparedness centers or elderly care support hubs during off-hours. Effective communication strategies are paramount; transparency builds trust, which is essential in maintaining public support for educational policies.</w:t>
      </w:r>
    </w:p>
    <w:bookmarkEnd w:id="24"/>
    <w:bookmarkStart w:id="25" w:name="challenges-and-future-directions"/>
    <w:p>
      <w:pPr>
        <w:pStyle w:val="Heading2"/>
      </w:pPr>
      <w:r>
        <w:t xml:space="preserve">6. Challenges and Future Directions</w:t>
      </w:r>
    </w:p>
    <w:p>
      <w:pPr>
        <w:pStyle w:val="FirstParagraph"/>
      </w:pPr>
      <w:r>
        <w:t xml:space="preserve">Despite these advancements, education administrators in</w:t>
      </w:r>
      <w:r>
        <w:t xml:space="preserve"> </w:t>
      </w:r>
      <w:r>
        <w:rPr>
          <w:bCs/>
          <w:b/>
        </w:rPr>
        <w:t xml:space="preserve">JAPAN KYOTO</w:t>
      </w:r>
      <w:r>
        <w:t xml:space="preserve"> </w:t>
      </w:r>
      <w:r>
        <w:t xml:space="preserve">face significant hurdles. The aging population leads to a shrinking workforce, impacting the availability of specialized staff such as counselors and special education teachers. Furthermore, the influx of international students due to Kyoto’s status as an academic hub requires administrators to develop inclusive policies that support non-Japanese speakers without diluting Japanese language proficiency goals.</w:t>
      </w:r>
    </w:p>
    <w:p>
      <w:pPr>
        <w:pStyle w:val="BodyText"/>
      </w:pPr>
      <w:r>
        <w:t xml:space="preserve">The future role of the</w:t>
      </w:r>
      <w:r>
        <w:t xml:space="preserve"> </w:t>
      </w:r>
      <w:r>
        <w:rPr>
          <w:bCs/>
          <w:b/>
        </w:rPr>
        <w:t xml:space="preserve">Education Administrator</w:t>
      </w:r>
      <w:r>
        <w:t xml:space="preserve"> </w:t>
      </w:r>
      <w:r>
        <w:t xml:space="preserve">will likely expand into crisis management, particularly regarding climate change and natural disasters, which are pressing concerns for the region. Administrators must lead resilience planning, ensuring that educational continuity is maintained during emergencies. Additionally, there is a growing need for emotional intelligence in leadership; as teacher burnout becomes a national issue in Japan, administrators must prioritize staff mental health to retain talent.</w:t>
      </w:r>
    </w:p>
    <w:bookmarkEnd w:id="25"/>
    <w:bookmarkStart w:id="26" w:name="conclusion"/>
    <w:p>
      <w:pPr>
        <w:pStyle w:val="Heading2"/>
      </w:pPr>
      <w:r>
        <w:t xml:space="preserve">7. Conclusion</w:t>
      </w:r>
    </w:p>
    <w:p>
      <w:pPr>
        <w:pStyle w:val="FirstParagraph"/>
      </w:pPr>
      <w:r>
        <w:t xml:space="preserve">In conclusion, the role of the</w:t>
      </w:r>
      <w:r>
        <w:t xml:space="preserve"> </w:t>
      </w:r>
      <w:r>
        <w:rPr>
          <w:bCs/>
          <w:b/>
        </w:rPr>
        <w:t xml:space="preserve">Education Administrator</w:t>
      </w:r>
      <w:r>
        <w:t xml:space="preserve"> </w:t>
      </w:r>
      <w:r>
        <w:t xml:space="preserve">in</w:t>
      </w:r>
      <w:r>
        <w:t xml:space="preserve"> </w:t>
      </w:r>
      <w:r>
        <w:rPr>
          <w:bCs/>
          <w:b/>
        </w:rPr>
        <w:t xml:space="preserve">JAPAN KYOTO</w:t>
      </w:r>
      <w:r>
        <w:t xml:space="preserve"> </w:t>
      </w:r>
      <w:r>
        <w:t xml:space="preserve">is complex, dynamic, and deeply contextual. It transcends traditional definitions of school management to encompass cultural preservation, technological integration, and community diplomacy. The successful administrator in this region is one who can harmonize the demands of global modernity with the rich traditions of Kyoto.</w:t>
      </w:r>
    </w:p>
    <w:p>
      <w:pPr>
        <w:pStyle w:val="BodyText"/>
      </w:pPr>
      <w:r>
        <w:t xml:space="preserve">As</w:t>
      </w:r>
      <w:r>
        <w:t xml:space="preserve"> </w:t>
      </w:r>
      <w:r>
        <w:rPr>
          <w:bCs/>
          <w:b/>
        </w:rPr>
        <w:t xml:space="preserve">JAPAN KYOTO</w:t>
      </w:r>
      <w:r>
        <w:t xml:space="preserve"> </w:t>
      </w:r>
      <w:r>
        <w:t xml:space="preserve">continues to evolve as a leading center for culture and technology, its educational administrators must remain agile and visionary. By fostering environments where history informs innovation, they ensure that the next generation is not only academically proficient but also culturally grounded. The insights derived from this research underscore that effective educational leadership is not one-size-fits-all; it requires a nuanced understanding of local identity. For policymakers and practitioners alike, recognizing the specific needs of</w:t>
      </w:r>
      <w:r>
        <w:t xml:space="preserve"> </w:t>
      </w:r>
      <w:r>
        <w:rPr>
          <w:bCs/>
          <w:b/>
        </w:rPr>
        <w:t xml:space="preserve">JAPAN KYOTO</w:t>
      </w:r>
      <w:r>
        <w:t xml:space="preserve"> </w:t>
      </w:r>
      <w:r>
        <w:t xml:space="preserve">provides a valuable case study in adaptive educational governance.</w:t>
      </w:r>
    </w:p>
    <w:bookmarkEnd w:id="26"/>
    <w:bookmarkStart w:id="27" w:name="references-simulated"/>
    <w:p>
      <w:pPr>
        <w:pStyle w:val="Heading2"/>
      </w:pPr>
      <w:r>
        <w:t xml:space="preserve">References (Simulated)</w:t>
      </w:r>
    </w:p>
    <w:p>
      <w:pPr>
        <w:pStyle w:val="FirstParagraph"/>
      </w:pPr>
      <w:r>
        <w:rPr>
          <w:iCs/>
          <w:i/>
        </w:rPr>
        <w:t xml:space="preserve">Note: The following references represent the types of sources utilized for this analysis.</w:t>
      </w:r>
    </w:p>
    <w:p>
      <w:pPr>
        <w:numPr>
          <w:ilvl w:val="0"/>
          <w:numId w:val="1001"/>
        </w:numPr>
        <w:pStyle w:val="Compact"/>
      </w:pPr>
      <w:r>
        <w:t xml:space="preserve">Kyoto City Board of Education. (2023).</w:t>
      </w:r>
      <w:r>
        <w:t xml:space="preserve"> </w:t>
      </w:r>
      <w:r>
        <w:rPr>
          <w:bCs/>
          <w:b/>
        </w:rPr>
        <w:t xml:space="preserve">Kyoto</w:t>
      </w:r>
      <w:r>
        <w:t xml:space="preserve">. Educational Strategic Plan 2030. Kyoto, Japan.</w:t>
      </w:r>
    </w:p>
    <w:p>
      <w:pPr>
        <w:numPr>
          <w:ilvl w:val="0"/>
          <w:numId w:val="1001"/>
        </w:numPr>
        <w:pStyle w:val="Compact"/>
      </w:pPr>
      <w:r>
        <w:t xml:space="preserve">MEXT. (2024). Guidelines for Digital Transformation in Primary and Secondary Education.</w:t>
      </w:r>
    </w:p>
    <w:p>
      <w:pPr>
        <w:numPr>
          <w:ilvl w:val="0"/>
          <w:numId w:val="1001"/>
        </w:numPr>
        <w:pStyle w:val="Compact"/>
      </w:pPr>
      <w:r>
        <w:t xml:space="preserve">Tanaka, H., &amp; Sato, K. (2022). "Community-Based Learning in Traditional Capitals: A Case Study of Kyoto Schools." Journal of Asian Educational Administration.</w:t>
      </w:r>
    </w:p>
    <w:p>
      <w:pPr>
        <w:numPr>
          <w:ilvl w:val="0"/>
          <w:numId w:val="1001"/>
        </w:numPr>
        <w:pStyle w:val="Compact"/>
      </w:pPr>
      <w:r>
        <w:t xml:space="preserve">National Institute for Educational Policy Research. (2023). The Role of School Principals in Regional Revitalization.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Education Administrator in Japan, Kyoto</dc:title>
  <dc:creator/>
  <dc:language>en</dc:language>
  <cp:keywords/>
  <dcterms:created xsi:type="dcterms:W3CDTF">2026-07-29T17:17:36Z</dcterms:created>
  <dcterms:modified xsi:type="dcterms:W3CDTF">2026-07-29T17:17:36Z</dcterms:modified>
</cp:coreProperties>
</file>

<file path=docProps/custom.xml><?xml version="1.0" encoding="utf-8"?>
<Properties xmlns="http://schemas.openxmlformats.org/officeDocument/2006/custom-properties" xmlns:vt="http://schemas.openxmlformats.org/officeDocument/2006/docPropsVTypes"/>
</file>