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31" w:name="Xc866aebc2eccb67d2f25aab2a2b5fc60ce3366e"/>
    <w:p>
      <w:pPr>
        <w:pStyle w:val="Heading1"/>
      </w:pPr>
      <w:r>
        <w:t xml:space="preserve">The Strategic Role of the Education Administrator in New Zealand Wellington</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Educational Leadership and Administrative Frameworks in the Capital Region</w:t>
      </w:r>
    </w:p>
    <w:p>
      <w:pPr>
        <w:pStyle w:val="BodyText"/>
      </w:pPr>
      <w:r>
        <w:rPr>
          <w:bCs/>
          <w:b/>
        </w:rPr>
        <w:t xml:space="preserve">Abstract:</w:t>
      </w:r>
      <w:r>
        <w:t xml:space="preserve">This research paper examines the critical function of the Education Administrator within the unique socio-political and cultural context of New Zealand Wellington. It explores how these administrators navigate regulatory frameworks, foster Te Tiriti o Waitangi partnerships, and manage educational resources to ensure equitable outcomes for diverse student populations. The study highlights that effective administration in Wellington is not merely operational but is a transformative leadership role essential for the future of national education.</w:t>
      </w:r>
    </w:p>
    <w:bookmarkStart w:id="20" w:name="introduction"/>
    <w:p>
      <w:pPr>
        <w:pStyle w:val="Heading2"/>
      </w:pPr>
      <w:r>
        <w:t xml:space="preserve">1. Introduction</w:t>
      </w:r>
    </w:p>
    <w:p>
      <w:pPr>
        <w:pStyle w:val="FirstParagraph"/>
      </w:pPr>
      <w:r>
        <w:t xml:space="preserve">In the rapidly evolving landscape of global education, the role of educational leadership has shifted from traditional management to strategic influence and community engagement. In</w:t>
      </w:r>
      <w:r>
        <w:t xml:space="preserve"> </w:t>
      </w:r>
      <w:r>
        <w:rPr>
          <w:bCs/>
          <w:b/>
        </w:rPr>
        <w:t xml:space="preserve">New Zealand Wellington</w:t>
      </w:r>
      <w:r>
        <w:t xml:space="preserve">, as the political and administrative capital, this shift is particularly pronounced due to its proximity to policy-making bodies such as Ministry of Education headquarters. The</w:t>
      </w:r>
      <w:r>
        <w:t xml:space="preserve"> </w:t>
      </w:r>
      <w:r>
        <w:rPr>
          <w:bCs/>
          <w:b/>
        </w:rPr>
        <w:t xml:space="preserve">Education Administrator</w:t>
      </w:r>
      <w:r>
        <w:t xml:space="preserve"> </w:t>
      </w:r>
      <w:r>
        <w:t xml:space="preserve">in this region serves as a pivotal link between national policy directives and local school implementation.</w:t>
      </w:r>
    </w:p>
    <w:p>
      <w:pPr>
        <w:pStyle w:val="BodyText"/>
      </w:pPr>
      <w:r>
        <w:t xml:space="preserve">This paper argues that the modern</w:t>
      </w:r>
      <w:r>
        <w:t xml:space="preserve"> </w:t>
      </w:r>
      <w:r>
        <w:rPr>
          <w:bCs/>
          <w:b/>
        </w:rPr>
        <w:t xml:space="preserve">Education Administrator</w:t>
      </w:r>
      <w:r>
        <w:t xml:space="preserve"> </w:t>
      </w:r>
      <w:r>
        <w:t xml:space="preserve">in Wellington must possess a sophisticated understanding of bicultural practice, digital transformation, and community stakeholder management. As the gateway to New Zealand’s educational sector, Wellington presents unique challenges and opportunities that define the administrative standards for the entire country.</w:t>
      </w:r>
    </w:p>
    <w:bookmarkEnd w:id="20"/>
    <w:bookmarkStart w:id="21" w:name="Xa5aa0fb1e5ac71c95c831cb59e6b6fc61de1770"/>
    <w:p>
      <w:pPr>
        <w:pStyle w:val="Heading2"/>
      </w:pPr>
      <w:r>
        <w:t xml:space="preserve">2. The Context of Education in New Zealand Wellington</w:t>
      </w:r>
    </w:p>
    <w:p>
      <w:pPr>
        <w:pStyle w:val="FirstParagraph"/>
      </w:pPr>
      <w:r>
        <w:rPr>
          <w:bCs/>
          <w:b/>
        </w:rPr>
        <w:t xml:space="preserve">New Zealand Wellington</w:t>
      </w:r>
      <w:r>
        <w:t xml:space="preserve"> </w:t>
      </w:r>
      <w:r>
        <w:t xml:space="preserve">is characterized by a diverse demographic makeup, including significant Māori and Pasifika communities, as well as a high proportion of migrant populations. This diversity necessitates an educational environment that is inclusive and culturally responsive. The administration of schools in this region requires adherence to the New Zealand Curriculum (NZC), which places a heavy emphasis on the key competencies of thinking, managing self, relating to others, and participating and contributing.</w:t>
      </w:r>
    </w:p>
    <w:p>
      <w:pPr>
        <w:pStyle w:val="BodyText"/>
      </w:pPr>
      <w:r>
        <w:t xml:space="preserve">Furthermore, Wellington is home to numerous tertiary institutions and early childhood education centers. The density of educational facilities creates a competitive yet collaborative ecosystem.</w:t>
      </w:r>
      <w:r>
        <w:t xml:space="preserve"> </w:t>
      </w:r>
      <w:r>
        <w:rPr>
          <w:bCs/>
          <w:b/>
        </w:rPr>
        <w:t xml:space="preserve">Education Administrators</w:t>
      </w:r>
      <w:r>
        <w:t xml:space="preserve"> </w:t>
      </w:r>
      <w:r>
        <w:t xml:space="preserve">here must often collaborate across sectors—primary schools connecting with secondary colleges and universities—to create seamless learning pathways for students. This regional synergy is unique to capital cities but is especially vital in Wellington due to its compact geographic size.</w:t>
      </w:r>
    </w:p>
    <w:bookmarkEnd w:id="21"/>
    <w:bookmarkStart w:id="26" w:name="X50234796a3c809c34742ace48c4fcceb95a569f"/>
    <w:p>
      <w:pPr>
        <w:pStyle w:val="Heading2"/>
      </w:pPr>
      <w:r>
        <w:t xml:space="preserve">3. Key Responsibilities of the Education Administrator</w:t>
      </w:r>
    </w:p>
    <w:bookmarkStart w:id="22" w:name="X317475292a0d4bdd440d7b548da1d86d7fd4b71"/>
    <w:p>
      <w:pPr>
        <w:pStyle w:val="Heading3"/>
      </w:pPr>
      <w:r>
        <w:t xml:space="preserve">3.1 Strategic Leadership and Policy Implementation</w:t>
      </w:r>
    </w:p>
    <w:p>
      <w:pPr>
        <w:pStyle w:val="FirstParagraph"/>
      </w:pPr>
      <w:r>
        <w:t xml:space="preserve">The primary duty of an</w:t>
      </w:r>
    </w:p>
    <w:bookmarkEnd w:id="22"/>
    <w:bookmarkStart w:id="23" w:name="X30ca4aef70f0406cb5808a57b696407d98b76a8"/>
    <w:p>
      <w:pPr>
        <w:pStyle w:val="Heading3"/>
      </w:pPr>
      <w:r>
        <w:t xml:space="preserve">3.2 Upholding Te Tiriti o Waitangi Obligations</w:t>
      </w:r>
    </w:p>
    <w:p>
      <w:pPr>
        <w:pStyle w:val="FirstParagraph"/>
      </w:pPr>
      <w:r>
        <w:t xml:space="preserve">A defining feature of educational administration in</w:t>
      </w:r>
      <w:r>
        <w:t xml:space="preserve"> </w:t>
      </w:r>
      <w:r>
        <w:rPr>
          <w:bCs/>
          <w:b/>
        </w:rPr>
        <w:t xml:space="preserve">New Zealand Wellington</w:t>
      </w:r>
    </w:p>
    <w:p>
      <w:pPr>
        <w:numPr>
          <w:ilvl w:val="0"/>
          <w:numId w:val="1001"/>
        </w:numPr>
        <w:pStyle w:val="Compact"/>
      </w:pPr>
      <w:r>
        <w:t xml:space="preserve">Incorporating te reo Māori (the Māori language) into daily school life.</w:t>
      </w:r>
    </w:p>
    <w:p>
      <w:pPr>
        <w:numPr>
          <w:ilvl w:val="0"/>
          <w:numId w:val="1001"/>
        </w:numPr>
        <w:pStyle w:val="Compact"/>
      </w:pPr>
      <w:r>
        <w:t xml:space="preserve">Ensuring Māori learners achieve educational success as Māori.</w:t>
      </w:r>
    </w:p>
    <w:p>
      <w:pPr>
        <w:numPr>
          <w:ilvl w:val="0"/>
          <w:numId w:val="1001"/>
        </w:numPr>
        <w:pStyle w:val="Compact"/>
      </w:pPr>
      <w:r>
        <w:t xml:space="preserve">Fostering partnerships with local iwi (tribes) and hapū (sub-tribes).</w:t>
      </w:r>
    </w:p>
    <w:p>
      <w:pPr>
        <w:pStyle w:val="FirstParagraph"/>
      </w:pPr>
      <w:r>
        <w:t xml:space="preserve">The</w:t>
      </w:r>
    </w:p>
    <w:bookmarkEnd w:id="23"/>
    <w:bookmarkStart w:id="24" w:name="X1c2a00ba3c2db3050c5b31dc2e8651eccb24244"/>
    <w:p>
      <w:pPr>
        <w:pStyle w:val="Heading3"/>
      </w:pPr>
      <w:r>
        <w:t xml:space="preserve">3.3 Resource Management and Financial Stewardship</w:t>
      </w:r>
    </w:p>
    <w:p>
      <w:pPr>
        <w:pStyle w:val="FirstParagraph"/>
      </w:pPr>
      <w:r>
        <w:t xml:space="preserve">Educational institutions in Wellington face significant financial pressures.</w:t>
      </w:r>
    </w:p>
    <w:bookmarkEnd w:id="24"/>
    <w:bookmarkStart w:id="25" w:name="X5b608d04cadcfc2216fc6dae2ac7370a580840d"/>
    <w:p>
      <w:pPr>
        <w:pStyle w:val="Heading3"/>
      </w:pPr>
      <w:r>
        <w:t xml:space="preserve">3.4 Community Engagement and Stakeholder Communication</w:t>
      </w:r>
    </w:p>
    <w:p>
      <w:pPr>
        <w:pStyle w:val="FirstParagraph"/>
      </w:pPr>
      <w:r>
        <w:t xml:space="preserve">The role extends beyond the school gates to include parents, local councils, business leaders, and health services. In</w:t>
      </w:r>
      <w:r>
        <w:t xml:space="preserve"> </w:t>
      </w:r>
      <w:r>
        <w:rPr>
          <w:bCs/>
          <w:b/>
        </w:rPr>
        <w:t xml:space="preserve">New Zealand Wellington</w:t>
      </w:r>
      <w:r>
        <w:t xml:space="preserve">, community engagement is seen as a critical determinant of student success. Administrators must facilitate open channels of communication, ensuring that parents feel empowered to participate in their children’s education. This is particularly important in urban areas where socioeconomic disparities can affect educational outcomes.</w:t>
      </w:r>
    </w:p>
    <w:bookmarkEnd w:id="25"/>
    <w:bookmarkEnd w:id="26"/>
    <w:bookmarkStart w:id="27" w:name="Xbb6665459e75adc291f8804ea847d2d4651f781"/>
    <w:p>
      <w:pPr>
        <w:pStyle w:val="Heading2"/>
      </w:pPr>
      <w:r>
        <w:t xml:space="preserve">4. Challenges Facing Education Administrators</w:t>
      </w:r>
    </w:p>
    <w:p>
      <w:pPr>
        <w:pStyle w:val="FirstParagraph"/>
      </w:pPr>
      <w:r>
        <w:t xml:space="preserve">The environment for an</w:t>
      </w:r>
    </w:p>
    <w:p>
      <w:pPr>
        <w:pStyle w:val="BodyText"/>
      </w:pPr>
      <w:r>
        <w:t xml:space="preserve">Additionally, the rapid pace of technological change requires continuous professional development for both staff and administrators. The integration of artificial intelligence, digital learning platforms, and cybersecurity measures demands that</w:t>
      </w:r>
    </w:p>
    <w:p>
      <w:pPr>
        <w:pStyle w:val="BodyText"/>
      </w:pPr>
      <w:r>
        <w:t xml:space="preserve">Socio-political polarization also poses a challenge. As a political hub Wellington schools are often at the center of national debates regarding curriculum content and educational funding.</w:t>
      </w:r>
    </w:p>
    <w:bookmarkEnd w:id="27"/>
    <w:bookmarkStart w:id="28" w:name="the-future-outlook"/>
    <w:p>
      <w:pPr>
        <w:pStyle w:val="Heading2"/>
      </w:pPr>
      <w:r>
        <w:t xml:space="preserve">5. The Future Outlook</w:t>
      </w:r>
    </w:p>
    <w:p>
      <w:pPr>
        <w:pStyle w:val="FirstParagraph"/>
      </w:pPr>
      <w:r>
        <w:t xml:space="preserve">The future of education administration in</w:t>
      </w:r>
    </w:p>
    <w:p>
      <w:pPr>
        <w:pStyle w:val="BodyText"/>
      </w:pPr>
      <w:r>
        <w:t xml:space="preserve">There is also a growing emphasis on well-being as a core component of educational outcomes.</w:t>
      </w:r>
    </w:p>
    <w:p>
      <w:pPr>
        <w:pStyle w:val="BodyText"/>
      </w:pPr>
      <w:r>
        <w:t xml:space="preserve">Furthermore, collaboration between schools in Wellington is expected to deepen. Cluster partnerships and regional networks will play a larger role in sharing best practices and resources. The</w:t>
      </w:r>
    </w:p>
    <w:bookmarkEnd w:id="28"/>
    <w:bookmarkStart w:id="29" w:name="conclusion"/>
    <w:p>
      <w:pPr>
        <w:pStyle w:val="Heading2"/>
      </w:pPr>
      <w:r>
        <w:t xml:space="preserve">6. Conclusion</w:t>
      </w:r>
    </w:p>
    <w:p>
      <w:pPr>
        <w:pStyle w:val="FirstParagraph"/>
      </w:pPr>
      <w:r>
        <w:t xml:space="preserve">In conclusion, the role of the</w:t>
      </w:r>
    </w:p>
    <w:p>
      <w:pPr>
        <w:pStyle w:val="BodyText"/>
      </w:pPr>
      <w:r>
        <w:t xml:space="preserve">As</w:t>
      </w:r>
    </w:p>
    <w:bookmarkEnd w:id="29"/>
    <w:bookmarkStart w:id="30" w:name="references"/>
    <w:p>
      <w:pPr>
        <w:pStyle w:val="Heading2"/>
      </w:pPr>
      <w:r>
        <w:t xml:space="preserve">7. References</w:t>
      </w:r>
    </w:p>
    <w:p>
      <w:pPr>
        <w:numPr>
          <w:ilvl w:val="0"/>
          <w:numId w:val="1002"/>
        </w:numPr>
        <w:pStyle w:val="Compact"/>
      </w:pPr>
      <w:r>
        <w:t xml:space="preserve">New Zealand Ministry of Education. (2017). The New Zealand Curriculum.</w:t>
      </w:r>
    </w:p>
    <w:p>
      <w:pPr>
        <w:numPr>
          <w:ilvl w:val="0"/>
          <w:numId w:val="1002"/>
        </w:numPr>
        <w:pStyle w:val="Compact"/>
      </w:pPr>
      <w:r>
        <w:t xml:space="preserve">Tātai Ako National Centre of Competency in Māori and Pasifika Education. (Various Years). Professional Standards for Teachers.</w:t>
      </w:r>
    </w:p>
    <w:p>
      <w:pPr>
        <w:numPr>
          <w:ilvl w:val="0"/>
          <w:numId w:val="1002"/>
        </w:numPr>
        <w:pStyle w:val="Compact"/>
      </w:pPr>
      <w:r>
        <w:t xml:space="preserve">Educations Review Office (ERO). (2023). How Well is Your School Leading Equity and Excellence? Wellington: ERO.</w:t>
      </w:r>
    </w:p>
    <w:p>
      <w:pPr>
        <w:numPr>
          <w:ilvl w:val="0"/>
          <w:numId w:val="1002"/>
        </w:numPr>
        <w:pStyle w:val="Compact"/>
      </w:pPr>
      <w:r>
        <w:t xml:space="preserve">Smyth, J., &amp; McInerney, P. M. (2015). School Leadership for Social Justice: The Challenge of the Global South. SensePublishers.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New Zealand Wellington</dc:title>
  <dc:creator/>
  <dc:language>en</dc:language>
  <cp:keywords/>
  <dcterms:created xsi:type="dcterms:W3CDTF">2026-07-30T00:35:28Z</dcterms:created>
  <dcterms:modified xsi:type="dcterms:W3CDTF">2026-07-30T00:35:28Z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