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Paris</w:t>
      </w:r>
    </w:p>
    <w:bookmarkStart w:id="30" w:name="Xf3008c00f96d1b1e715e9d6421d718b678e3749"/>
    <w:p>
      <w:pPr>
        <w:pStyle w:val="Heading1"/>
      </w:pPr>
      <w:r>
        <w:t xml:space="preserve">The Strategic Imperative of the Financial Analyst in France Paris</w:t>
      </w:r>
    </w:p>
    <w:p>
      <w:pPr>
        <w:pStyle w:val="FirstParagraph"/>
      </w:pPr>
      <w:r>
        <w:rPr>
          <w:iCs/>
          <w:i/>
          <w:bCs/>
          <w:b/>
        </w:rPr>
        <w:t xml:space="preserve">Abstract:</w:t>
      </w:r>
      <w:r>
        <w:br/>
      </w:r>
      <w:r>
        <w:t xml:space="preserve">This research paper examines the critical role, evolving responsibilities, and economic significance of the Financial Analyst within the unique business ecosystem of France Paris. As a global hub for finance, law, and luxury goods, France Paris presents distinct regulatory challenges and market dynamics. The analysis highlights how modern Financial Analysts navigate French labor laws European Union directives while driving corporate strategy in one of Europe's most competitive markets.</w:t>
      </w:r>
    </w:p>
    <w:bookmarkStart w:id="20" w:name="introduction"/>
    <w:p>
      <w:pPr>
        <w:pStyle w:val="Heading2"/>
      </w:pPr>
      <w:r>
        <w:t xml:space="preserve">1. Introduction</w:t>
      </w:r>
    </w:p>
    <w:p>
      <w:pPr>
        <w:pStyle w:val="FirstParagraph"/>
      </w:pPr>
      <w:r>
        <w:t xml:space="preserve">In the contemporary global economy, the role of a Financial Analyst has transcended traditional bookkeeping and basic reporting to become a cornerstone of strategic decision-making. Nowhere is this transformation more pronounced than in France Paris, the economic heart of France and a pivotal node in European capital markets. For institutions operating within this vibrant metropolis, understanding the specific nuances of financial analysis is not merely an academic exercise but a business necessity.</w:t>
      </w:r>
    </w:p>
    <w:p>
      <w:pPr>
        <w:pStyle w:val="BodyText"/>
      </w:pPr>
      <w:r>
        <w:t xml:space="preserve">The city of France Paris hosts headquarters for major banking conglomerates such as BNP Paribas and Société Générale, as well as countless mid-cap enterprises and luxury brands. Consequently, the demand for high-caliber Financial Analysts in this region is robust yet highly specialized. This paper explores how the persona of the Financial Analyst must adapt to the cultural, regulatory, and economic specificities of France Paris to effectively drive value creation.</w:t>
      </w:r>
    </w:p>
    <w:bookmarkEnd w:id="20"/>
    <w:bookmarkStart w:id="23" w:name="the-regulatory-landscape-in-france-paris"/>
    <w:p>
      <w:pPr>
        <w:pStyle w:val="Heading2"/>
      </w:pPr>
      <w:r>
        <w:t xml:space="preserve">2. The Regulatory Landscape in France Paris</w:t>
      </w:r>
    </w:p>
    <w:p>
      <w:pPr>
        <w:pStyle w:val="FirstParagraph"/>
      </w:pPr>
      <w:r>
        <w:t xml:space="preserve">To understand the function of a Financial Analyst in this jurisdiction, one must first appreciate the complex web of regulations they must navigate. Unlike many other global financial centers, France operates under a hybrid system influenced heavily by both local civil law and rigorous European Union standards.</w:t>
      </w:r>
    </w:p>
    <w:bookmarkStart w:id="21" w:name="compliance-with-amf-and-eu-directives"/>
    <w:p>
      <w:pPr>
        <w:pStyle w:val="Heading3"/>
      </w:pPr>
      <w:r>
        <w:t xml:space="preserve">2.1 Compliance with AMF and EU Directives</w:t>
      </w:r>
    </w:p>
    <w:p>
      <w:pPr>
        <w:pStyle w:val="FirstParagraph"/>
      </w:pPr>
      <w:r>
        <w:t xml:space="preserve">The Autorité des Marchés Financiers (AMF) serves as the primary regulatory body in France Paris. A competent Financial Analyst must possess deep knowledge of AMF regulations, which govern disclosure requirements, market abuse prevention, and investor protection. Furthermore, because France is a member of the Eurozone and the EU, analysts must also interpret directives such as MiFID II (Markets in Financial Instruments Directive) and Solvency II. Failure to comply with these overlapping frameworks can result in severe penalties for firms based in France Paris.</w:t>
      </w:r>
    </w:p>
    <w:bookmarkEnd w:id="21"/>
    <w:bookmarkStart w:id="22" w:name="X9b2eac08a8ce30f0e4bf35e5044f09d69fb25a0"/>
    <w:p>
      <w:pPr>
        <w:pStyle w:val="Heading3"/>
      </w:pPr>
      <w:r>
        <w:t xml:space="preserve">2.2 The "Société à Directoire et Conseil de Surveillance"</w:t>
      </w:r>
    </w:p>
    <w:p>
      <w:pPr>
        <w:pStyle w:val="FirstParagraph"/>
      </w:pPr>
      <w:r>
        <w:t xml:space="preserve">A unique aspect of corporate governance in France is the dual-board system found in many large corporations: a management board (Directoire) and a supervisory board (Conseil de Surveillance). Financial Analysts in this environment often serve as the critical bridge between these two bodies. They must provide data-driven insights that satisfy the operational demands of management while addressing the governance and risk oversight concerns of the supervisory board. This dual accountability requires a higher level of strategic communication than is typically found in single-board structures common in Anglo-Saxon markets.</w:t>
      </w:r>
    </w:p>
    <w:bookmarkEnd w:id="22"/>
    <w:bookmarkEnd w:id="23"/>
    <w:bookmarkStart w:id="24" w:name="sector-specific-challenges"/>
    <w:p>
      <w:pPr>
        <w:pStyle w:val="Heading2"/>
      </w:pPr>
      <w:r>
        <w:t xml:space="preserve">3. Sector-Specific Challenges</w:t>
      </w:r>
    </w:p>
    <w:p>
      <w:pPr>
        <w:pStyle w:val="FirstParagraph"/>
      </w:pPr>
      <w:r>
        <w:t xml:space="preserve">The economic profile of France Paris is distinct, dominated by three key sectors: finance, luxury goods, and aerospace/energy. Each sector imposes different analytical requirements on the Financial Analyst.</w:t>
      </w:r>
    </w:p>
    <w:p>
      <w:pPr>
        <w:numPr>
          <w:ilvl w:val="0"/>
          <w:numId w:val="1001"/>
        </w:numPr>
        <w:pStyle w:val="Compact"/>
      </w:pPr>
      <w:r>
        <w:rPr>
          <w:bCs/>
          <w:b/>
        </w:rPr>
        <w:t xml:space="preserve">The Luxury Goods Sector:</w:t>
      </w:r>
      <w:r>
        <w:t xml:space="preserve"> </w:t>
      </w:r>
      <w:r>
        <w:t xml:space="preserve">Companies like LVMH and Kering dominate this space. Here, the Financial Analyst must look beyond traditional metrics to assess brand equity, global tourism trends, and foreign exchange exposure. Valuation models often incorporate non-financial intangible assets more heavily than in other industries.</w:t>
      </w:r>
    </w:p>
    <w:p>
      <w:pPr>
        <w:numPr>
          <w:ilvl w:val="0"/>
          <w:numId w:val="1001"/>
        </w:numPr>
        <w:pStyle w:val="Compact"/>
      </w:pPr>
      <w:r>
        <w:rPr>
          <w:bCs/>
          <w:b/>
        </w:rPr>
        <w:t xml:space="preserve">The Banking Sector:</w:t>
      </w:r>
      <w:r>
        <w:t xml:space="preserve"> </w:t>
      </w:r>
      <w:r>
        <w:t xml:space="preserve">With France Paris acting as a continental hub for investment banking, analysts here focus on risk-weighted assets, capital adequacy ratios (Basel III/IV compliance), and cross-border M&amp;A integration. The analytical depth required here is immense, particularly in stress-testing portfolios against geopolitical shocks.</w:t>
      </w:r>
    </w:p>
    <w:p>
      <w:pPr>
        <w:numPr>
          <w:ilvl w:val="0"/>
          <w:numId w:val="1001"/>
        </w:numPr>
        <w:pStyle w:val="Compact"/>
      </w:pPr>
      <w:r>
        <w:rPr>
          <w:bCs/>
          <w:b/>
        </w:rPr>
        <w:t xml:space="preserve">Energy and Aerospace:</w:t>
      </w:r>
      <w:r>
        <w:t xml:space="preserve"> </w:t>
      </w:r>
      <w:r>
        <w:t xml:space="preserve">Given the presence of giants like TotalEnergies and Airbus, analysts must understand long-cycle project financing, government subsidies, and the transition to green energy. This requires a strong grasp of Environmental, Social, and Governance (ESG) metrics.</w:t>
      </w:r>
    </w:p>
    <w:bookmarkEnd w:id="24"/>
    <w:bookmarkStart w:id="25" w:name="X4544de86468d585da8e4711fe20fc510961c82d"/>
    <w:p>
      <w:pPr>
        <w:pStyle w:val="Heading2"/>
      </w:pPr>
      <w:r>
        <w:t xml:space="preserve">4. The Rise of ESG in French Financial Analysis</w:t>
      </w:r>
    </w:p>
    <w:p>
      <w:pPr>
        <w:pStyle w:val="FirstParagraph"/>
      </w:pPr>
      <w:r>
        <w:t xml:space="preserve">A defining characteristic of the modern Financial Analyst role in France Paris is the integration of ESG factors into core financial models. France has been a pioneer in mandating non-financial reporting. The "Grenelle II" law and subsequent EU sustainability disclosure regulations require companies to report extensively on their environmental impact.</w:t>
      </w:r>
    </w:p>
    <w:p>
      <w:pPr>
        <w:pStyle w:val="BodyText"/>
      </w:pPr>
      <w:r>
        <w:t xml:space="preserve">In this context, the Financial Analyst is no longer just a guardian of fiscal capital but also a steward of sustainable value. They must quantify the financial implications of carbon taxes, assess the long-term viability of green investments, and integrate sustainability risks into credit scoring models. An analyst in France Paris who ignores ESG data is operating with an incomplete view of risk and opportunity.</w:t>
      </w:r>
    </w:p>
    <w:bookmarkEnd w:id="25"/>
    <w:bookmarkStart w:id="28" w:name="X0997de04e696ad2b37c7a138bd5be96a38051b6"/>
    <w:p>
      <w:pPr>
        <w:pStyle w:val="Heading2"/>
      </w:pPr>
      <w:r>
        <w:t xml:space="preserve">5. Technological Transformation and Skill Sets</w:t>
      </w:r>
    </w:p>
    <w:p>
      <w:pPr>
        <w:pStyle w:val="FirstParagraph"/>
      </w:pPr>
      <w:r>
        <w:t xml:space="preserve">The digital transformation sweeping through France Paris has reshaped the skill set required for Financial Analysts. While traditional proficiency in Excel and accounting standards (PCG - Plan Comptable Général) remains essential, there is an escalating demand for technical literacy.</w:t>
      </w:r>
    </w:p>
    <w:bookmarkStart w:id="26" w:name="data-analytics-and-automation"/>
    <w:p>
      <w:pPr>
        <w:pStyle w:val="Heading3"/>
      </w:pPr>
      <w:r>
        <w:t xml:space="preserve">5.1 Data Analytics and Automation</w:t>
      </w:r>
    </w:p>
    <w:p>
      <w:pPr>
        <w:pStyle w:val="FirstParagraph"/>
      </w:pPr>
      <w:r>
        <w:t xml:space="preserve">Banks and large corporations in France Paris are increasingly adopting Robotic Process Automation (RPA) and Artificial Intelligence (AI) for routine reporting. This shifts the role of the Financial Analyst from data aggregation to data interpretation. Proficiency in SQL, Python, or advanced visualization tools like Tableau is becoming a prerequisite rather than a "nice-to-have."</w:t>
      </w:r>
    </w:p>
    <w:bookmarkEnd w:id="26"/>
    <w:bookmarkStart w:id="27" w:name="the-language-barrier"/>
    <w:p>
      <w:pPr>
        <w:pStyle w:val="Heading3"/>
      </w:pPr>
      <w:r>
        <w:t xml:space="preserve">5.2 The Language Barrier</w:t>
      </w:r>
    </w:p>
    <w:p>
      <w:pPr>
        <w:pStyle w:val="FirstParagraph"/>
      </w:pPr>
      <w:r>
        <w:t xml:space="preserve">Pronounced earlier, this research paper emphasizes that while English is the language of global finance, the role in France Paris requires fluency in French. Internal reporting, stakeholder negotiations with local regulators (AMF), and understanding the nuances of French corporate culture all necessitate strong linguistic capabilities. The Financial Analyst must be bilingual or multilingual to effectively communicate complex financial narratives to both international investors and domestic stakeholders.</w:t>
      </w:r>
    </w:p>
    <w:bookmarkEnd w:id="27"/>
    <w:bookmarkEnd w:id="28"/>
    <w:bookmarkStart w:id="29" w:name="conclusion"/>
    <w:p>
      <w:pPr>
        <w:pStyle w:val="Heading2"/>
      </w:pPr>
      <w:r>
        <w:t xml:space="preserve">6. Conclusion</w:t>
      </w:r>
    </w:p>
    <w:p>
      <w:pPr>
        <w:pStyle w:val="FirstParagraph"/>
      </w:pPr>
      <w:r>
        <w:t xml:space="preserve">The role of the Financial Analyst in France Paris is multifaceted, demanding a sophisticated blend of technical financial acumen, regulatory expertise, and cultural intelligence. As the economic capital of France, this city presents a unique ecosystem where traditional French corporate governance meets modern global financial standards.</w:t>
      </w:r>
    </w:p>
    <w:p>
      <w:pPr>
        <w:pStyle w:val="BodyText"/>
      </w:pPr>
      <w:r>
        <w:t xml:space="preserve">For organizations operating in this region, investing in high-quality Financial Analysts is not optional; it is strategic imperitive. These professionals act as the navigators of complexity, ensuring compliance with stringent EU and local regulations while driving sustainable growth in a competitive market. As we look to the future, the Financial Analyst who masters both digital tools and ESG integration will be best positioned to thrive in France Paris.</w:t>
      </w:r>
    </w:p>
    <w:p>
      <w:pPr>
        <w:pStyle w:val="BodyText"/>
      </w:pPr>
      <w:r>
        <w:rPr>
          <w:bCs/>
          <w:b/>
        </w:rPr>
        <w:t xml:space="preserve">References for Further Reading:</w:t>
      </w:r>
      <w:r>
        <w:br/>
      </w:r>
      <w:r>
        <w:t xml:space="preserve">1. Autorité des Marchés Financiers (AMF). (2023). *Guidelines on Financial Reporting and Disclosure.*</w:t>
      </w:r>
      <w:r>
        <w:br/>
      </w:r>
      <w:r>
        <w:t xml:space="preserve">2. European Securities and Markets Authority (ESMA). (2024). *MiFID II Implementation Guidelines.*</w:t>
      </w:r>
      <w:r>
        <w:br/>
      </w:r>
      <w:r>
        <w:t xml:space="preserve">3. Ministry of Economy, Finance and Industrial and Digital Sovereignty, France. (2023). *Report on Corporate Governance in France.*</w:t>
      </w:r>
      <w:r>
        <w:br/>
      </w:r>
      <w:r>
        <w:t xml:space="preserve">4. Global Financial Centres Index Z/Yen Group. (2024). *Ranking of Financial Hubs: Paris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France Paris</dc:title>
  <dc:creator/>
  <dc:language>en</dc:language>
  <cp:keywords/>
  <dcterms:created xsi:type="dcterms:W3CDTF">2026-07-29T13:24:01Z</dcterms:created>
  <dcterms:modified xsi:type="dcterms:W3CDTF">2026-07-29T13:24:01Z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