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Research</w:t>
      </w:r>
      <w:r>
        <w:t xml:space="preserve"> </w:t>
      </w:r>
      <w:r>
        <w:t xml:space="preserve">Analysis</w:t>
      </w:r>
    </w:p>
    <w:bookmarkStart w:id="29" w:name="X461f3ea923dd59d9910457eda2224f8110badb8"/>
    <w:p>
      <w:pPr>
        <w:pStyle w:val="Heading1"/>
      </w:pPr>
      <w:r>
        <w:t xml:space="preserve">The Role and Evolution of the Graphic Designer in Iran, Tehran: A Research Analysis</w:t>
      </w:r>
    </w:p>
    <w:p>
      <w:pPr>
        <w:pStyle w:val="FirstParagraph"/>
      </w:pPr>
      <w:r>
        <w:rPr>
          <w:bCs/>
          <w:b/>
        </w:rPr>
        <w:t xml:space="preserve">Abstract</w:t>
      </w:r>
    </w:p>
    <w:p>
      <w:pPr>
        <w:pStyle w:val="BodyText"/>
      </w:pPr>
      <w:r>
        <w:t xml:space="preserve">This research paper explores the multifaceted role of the</w:t>
      </w:r>
      <w:r>
        <w:t xml:space="preserve"> </w:t>
      </w:r>
      <w:hyperlink w:anchor="Xa39a3ee5e6b4b0d3255bfef95601890afd80709">
        <w:r>
          <w:rPr>
            <w:rStyle w:val="Hyperlink"/>
            <w:bCs/>
            <w:b/>
          </w:rPr>
          <w:t xml:space="preserve">Graphic Designer</w:t>
        </w:r>
      </w:hyperlink>
      <w:r>
        <w:t xml:space="preserve">, specifically within the dynamic cultural and economic landscape of</w:t>
      </w:r>
    </w:p>
    <w:p>
      <w:pPr>
        <w:pStyle w:val="BodyText"/>
      </w:pPr>
      <w:hyperlink w:anchor="Xa39a3ee5e6b4b0d3255bfef95601890afd80709">
        <w:r>
          <w:rPr>
            <w:rStyle w:val="Hyperlink"/>
          </w:rPr>
          <w:t xml:space="preserve">Iran, Tehran</w:t>
        </w:r>
      </w:hyperlink>
      <w:r>
        <w:t xml:space="preserve">.</w:t>
      </w:r>
    </w:p>
    <w:p>
      <w:pPr>
        <w:pStyle w:val="BodyText"/>
      </w:pPr>
      <w:r>
        <w:t xml:space="preserve">. It examines how historical traditions, modern technological shifts, and socioeconomic factors converge to shape professional practices in one of Middle Eastern capital cities. As digital media permeates daily life in Tehran, understanding the local nuances of visual communication is crucial for global industry standards.</w:t>
      </w:r>
    </w:p>
    <w:bookmarkStart w:id="20" w:name="introduction"/>
    <w:p>
      <w:pPr>
        <w:pStyle w:val="Heading2"/>
      </w:pPr>
      <w:r>
        <w:t xml:space="preserve">1. Introduction</w:t>
      </w:r>
    </w:p>
    <w:p>
      <w:pPr>
        <w:pStyle w:val="FirstParagraph"/>
      </w:pPr>
      <w:r>
        <w:t xml:space="preserve">In the contemporary digital age, visual communication has become the primary language of interaction across borders. However, no region communicates visually in a vacuum; cultural context dictates design aesthetics, functionality, and reception.</w:t>
      </w:r>
      <w:r>
        <w:t xml:space="preserve"> </w:t>
      </w:r>
      <w:hyperlink w:anchor="Xa39a3ee5e6b4b0d3255bfef95601890afd80709">
        <w:r>
          <w:rPr>
            <w:rStyle w:val="Hyperlink"/>
            <w:bCs/>
            <w:b/>
          </w:rPr>
          <w:t xml:space="preserve">Iran Tehran</w:t>
        </w:r>
      </w:hyperlink>
      <w:r>
        <w:t xml:space="preserve">, as the political and commercial heart of Iran presents a unique case study for graphic design professionals. It is a city where ancient Persian calligraphy meets modern digital interfaces.</w:t>
      </w:r>
    </w:p>
    <w:p>
      <w:pPr>
        <w:pStyle w:val="BodyText"/>
      </w:pPr>
      <w:r>
        <w:t xml:space="preserve">The purpose of this paper is to analyze the specific challenges, opportunities, and cultural imperatives that define the profession of the</w:t>
      </w:r>
      <w:r>
        <w:t xml:space="preserve"> </w:t>
      </w:r>
      <w:hyperlink w:anchor="Xa39a3ee5e6b4b0d3255bfef95601890afd80709">
        <w:r>
          <w:rPr>
            <w:rStyle w:val="Hyperlink"/>
            <w:bCs/>
            <w:b/>
          </w:rPr>
          <w:t xml:space="preserve">Graphic Designer</w:t>
        </w:r>
      </w:hyperlink>
      <w:r>
        <w:t xml:space="preserve"> </w:t>
      </w:r>
      <w:r>
        <w:t xml:space="preserve">in this region. By focusing on</w:t>
      </w:r>
    </w:p>
    <w:p>
      <w:pPr>
        <w:pStyle w:val="BodyText"/>
      </w:pPr>
      <w:hyperlink w:anchor="Xa39a3ee5e6b4b0d3255bfef95601890afd80709">
        <w:r>
          <w:rPr>
            <w:rStyle w:val="Hyperlink"/>
          </w:rPr>
          <w:t xml:space="preserve">Iran Tehran</w:t>
        </w:r>
      </w:hyperlink>
      <w:r>
        <w:t xml:space="preserve">,</w:t>
      </w:r>
    </w:p>
    <w:p>
      <w:pPr>
        <w:pStyle w:val="BodyText"/>
      </w:pPr>
      <w:r>
        <w:t xml:space="preserve">, we can better understand how local designers navigate censorship laws, economic sanctions, and a rich artistic heritage to create compelling visual narratives.</w:t>
      </w:r>
    </w:p>
    <w:bookmarkEnd w:id="20"/>
    <w:bookmarkStart w:id="21" w:name="Xaf332591b879c1f0ca53b0b2be76fff490bc593"/>
    <w:p>
      <w:pPr>
        <w:pStyle w:val="Heading2"/>
      </w:pPr>
      <w:r>
        <w:t xml:space="preserve">2. Historical Context: The Persian Aesthetic Legacy</w:t>
      </w:r>
    </w:p>
    <w:p>
      <w:pPr>
        <w:pStyle w:val="FirstParagraph"/>
      </w:pPr>
      <w:r>
        <w:t xml:space="preserve">To understand the modern</w:t>
      </w:r>
      <w:r>
        <w:t xml:space="preserve"> </w:t>
      </w:r>
      <w:hyperlink w:anchor="Xa39a3ee5e6b4b0d3255bfef95601890afd80709">
        <w:r>
          <w:rPr>
            <w:rStyle w:val="Hyperlink"/>
            <w:bCs/>
            <w:b/>
          </w:rPr>
          <w:t xml:space="preserve">Graphic Designer</w:t>
        </w:r>
      </w:hyperlink>
      <w:r>
        <w:t xml:space="preserve">, one must first appreciate the deep historical roots of visual arts in</w:t>
      </w:r>
    </w:p>
    <w:p>
      <w:pPr>
        <w:pStyle w:val="BodyText"/>
      </w:pPr>
      <w:hyperlink w:anchor="Xa39a3ee5e6b4b0d3255bfef95601890afd80709">
        <w:r>
          <w:rPr>
            <w:rStyle w:val="Hyperlink"/>
          </w:rPr>
          <w:t xml:space="preserve">Iran Tehran</w:t>
        </w:r>
      </w:hyperlink>
      <w:r>
        <w:t xml:space="preserve">.</w:t>
      </w:r>
    </w:p>
    <w:p>
      <w:pPr>
        <w:pStyle w:val="BodyText"/>
      </w:pPr>
      <w:r>
        <w:t xml:space="preserve">. Iran boasts a millennia-old tradition of art, ranging from Sassanid carpets to intricate tile work and miniature painting. Central to this heritage is Persian calligraphy, which has long been considered the highest form of artistic expression.</w:t>
      </w:r>
    </w:p>
    <w:p>
      <w:pPr>
        <w:pStyle w:val="BodyText"/>
      </w:pPr>
      <w:r>
        <w:t xml:space="preserve">In</w:t>
      </w:r>
    </w:p>
    <w:p>
      <w:pPr>
        <w:pStyle w:val="BodyText"/>
      </w:pPr>
      <w:hyperlink w:anchor="Xa39a3ee5e6b4b0d3255bfef95601890afd80709">
        <w:r>
          <w:rPr>
            <w:rStyle w:val="Hyperlink"/>
          </w:rPr>
          <w:t xml:space="preserve">Iran Tehran</w:t>
        </w:r>
      </w:hyperlink>
      <w:r>
        <w:t xml:space="preserve">,</w:t>
      </w:r>
    </w:p>
    <w:p>
      <w:pPr>
        <w:pStyle w:val="BodyText"/>
      </w:pPr>
      <w:r>
        <w:t xml:space="preserve">, traditional motifs are not merely historical artifacts but living elements that designers frequently reinterpret. Modern branding in Tehran often incorporates geometric patterns reminiscent of Islamic architecture or stylized Nasta'liq script. This blending of tradition and modernity is a hallmark of the local design scene, distinguishing it from Western counterparts who may prioritize minimalism or abstraction.</w:t>
      </w:r>
    </w:p>
    <w:bookmarkEnd w:id="21"/>
    <w:bookmarkStart w:id="22" w:name="Xe980c160c6c80e4fe0cb9877a6632cc15f63d27"/>
    <w:p>
      <w:pPr>
        <w:pStyle w:val="Heading2"/>
      </w:pPr>
      <w:r>
        <w:t xml:space="preserve">3. The Digital Transformation and Technological Adaptation</w:t>
      </w:r>
    </w:p>
    <w:p>
      <w:pPr>
        <w:pStyle w:val="FirstParagraph"/>
      </w:pPr>
      <w:r>
        <w:t xml:space="preserve">In recent years,</w:t>
      </w:r>
    </w:p>
    <w:p>
      <w:pPr>
        <w:pStyle w:val="BodyText"/>
      </w:pPr>
      <w:hyperlink w:anchor="Xa39a3ee5e6b4b0d3255bfef95601890afd80709">
        <w:r>
          <w:rPr>
            <w:rStyle w:val="Hyperlink"/>
          </w:rPr>
          <w:t xml:space="preserve">Iran Tehran</w:t>
        </w:r>
      </w:hyperlink>
      <w:r>
        <w:t xml:space="preserve">,</w:t>
      </w:r>
    </w:p>
    <w:p>
      <w:pPr>
        <w:pStyle w:val="BodyText"/>
      </w:pPr>
      <w:r>
        <w:t xml:space="preserve">. has witnessed a rapid digital transformation. Internet penetration rates have soared, leading to a surge in e-commerce, social media marketing, and digital entertainment. This shift has fundamentally altered the job description of the</w:t>
      </w:r>
      <w:r>
        <w:t xml:space="preserve"> </w:t>
      </w:r>
      <w:hyperlink w:anchor="Xa39a3ee5e6b4b0d3255bfef95601890afd80709">
        <w:r>
          <w:rPr>
            <w:rStyle w:val="Hyperlink"/>
            <w:bCs/>
            <w:b/>
          </w:rPr>
          <w:t xml:space="preserve">Graphic Designer</w:t>
        </w:r>
      </w:hyperlink>
      <w:r>
        <w:t xml:space="preserve">.</w:t>
      </w:r>
    </w:p>
    <w:p>
      <w:pPr>
        <w:pStyle w:val="BodyText"/>
      </w:pPr>
      <w:r>
        <w:t xml:space="preserve">Previously focused primarily on print media—such as newspapers like</w:t>
      </w:r>
      <w:r>
        <w:t xml:space="preserve"> </w:t>
      </w:r>
      <w:r>
        <w:rPr>
          <w:iCs/>
          <w:i/>
        </w:rPr>
        <w:t xml:space="preserve">Etemad</w:t>
      </w:r>
      <w:r>
        <w:t xml:space="preserve"> </w:t>
      </w:r>
      <w:r>
        <w:t xml:space="preserve">or magazine layouts—the modern designer in Tehran must now master user interface (UI) and user experience (UX) design. With platforms like Instagram and local equivalents serving as primary news sources, designers are tasked with creating scroll-stopping visuals that comply with strict community guidelines while maintaining artistic integrity.</w:t>
      </w:r>
    </w:p>
    <w:p>
      <w:pPr>
        <w:pStyle w:val="BodyText"/>
      </w:pPr>
      <w:r>
        <w:t xml:space="preserve">The adoption of software such as Adobe Creative Cloud remains prevalent, although access can sometimes be complicated by international sanctions. Consequently, Iranian designers often demonstrate remarkable resourcefulness, utilizing open-source alternatives or peer-to-peer sharing networks to stay updated with industry-standard tools.</w:t>
      </w:r>
    </w:p>
    <w:bookmarkEnd w:id="22"/>
    <w:bookmarkStart w:id="23" w:name="X0e180c764e516a833532b1053b9c58b41cded46"/>
    <w:p>
      <w:pPr>
        <w:pStyle w:val="Heading2"/>
      </w:pPr>
      <w:r>
        <w:t xml:space="preserve">4. Socio-Political Influences on Design Practice</w:t>
      </w:r>
    </w:p>
    <w:p>
      <w:pPr>
        <w:pStyle w:val="FirstParagraph"/>
      </w:pPr>
      <w:r>
        <w:t xml:space="preserve">The role of the</w:t>
      </w:r>
      <w:r>
        <w:t xml:space="preserve"> </w:t>
      </w:r>
      <w:hyperlink w:anchor="Xa39a3ee5e6b4b0d3255bfef95601890afd80709">
        <w:r>
          <w:rPr>
            <w:rStyle w:val="Hyperlink"/>
            <w:bCs/>
            <w:b/>
          </w:rPr>
          <w:t xml:space="preserve">Graphic Designer</w:t>
        </w:r>
      </w:hyperlink>
      <w:r>
        <w:t xml:space="preserve">, in</w:t>
      </w:r>
    </w:p>
    <w:p>
      <w:pPr>
        <w:pStyle w:val="BodyText"/>
      </w:pPr>
      <w:hyperlink w:anchor="Xa39a3ee5e6b4b0d3255bfef95601890afd80709">
        <w:r>
          <w:rPr>
            <w:rStyle w:val="Hyperlink"/>
          </w:rPr>
          <w:t xml:space="preserve">Iran Tehran</w:t>
        </w:r>
      </w:hyperlink>
      <w:r>
        <w:t xml:space="preserve">,</w:t>
      </w:r>
    </w:p>
    <w:p>
      <w:pPr>
        <w:pStyle w:val="BodyText"/>
      </w:pPr>
      <w:r>
        <w:t xml:space="preserve">. cannot be separated from the socio-political environment. Content regulation plays a significant role in design decisions. Designers must navigate laws regarding modesty, political sensitivity, and religious propriety.</w:t>
      </w:r>
    </w:p>
    <w:p>
      <w:pPr>
        <w:pStyle w:val="BodyText"/>
      </w:pPr>
      <w:r>
        <w:t xml:space="preserve">This creates a unique creative constraint. Rather than stifling creativity, many argue that these limitations foster innovation within boundaries. For instance, color palettes may be chosen to evoke specific emotional responses without crossing regulatory lines. Typography becomes a tool for subtle messaging; the choice of font can signal modernity versus tradition, or local pride versus international appeal.</w:t>
      </w:r>
    </w:p>
    <w:p>
      <w:pPr>
        <w:pStyle w:val="BodyText"/>
      </w:pPr>
      <w:r>
        <w:t xml:space="preserve">Furthermore, during periods of national crisis or celebration (such as Nowruz or religious holidays), graphic design in Tehran takes on a communal role. Posters, billboards, and digital banners serve to unify public sentiment. The</w:t>
      </w:r>
      <w:r>
        <w:t xml:space="preserve"> </w:t>
      </w:r>
      <w:hyperlink w:anchor="Xa39a3ee5e6b4b0d3255bfef95601890afd80709">
        <w:r>
          <w:rPr>
            <w:rStyle w:val="Hyperlink"/>
            <w:bCs/>
            <w:b/>
          </w:rPr>
          <w:t xml:space="preserve">Graphic Designer</w:t>
        </w:r>
      </w:hyperlink>
      <w:r>
        <w:t xml:space="preserve">, thus acts not just as a commercial vendor but as a cultural commentator.</w:t>
      </w:r>
    </w:p>
    <w:bookmarkEnd w:id="23"/>
    <w:bookmarkStart w:id="24" w:name="X26e52652c571edbf1efec044e24dee9315d8993"/>
    <w:p>
      <w:pPr>
        <w:pStyle w:val="Heading2"/>
      </w:pPr>
      <w:r>
        <w:t xml:space="preserve">5. Economic Challenges and Professional Opportunities</w:t>
      </w:r>
    </w:p>
    <w:p>
      <w:pPr>
        <w:pStyle w:val="FirstParagraph"/>
      </w:pPr>
      <w:r>
        <w:t xml:space="preserve">Economic fluctuations in</w:t>
      </w:r>
    </w:p>
    <w:p>
      <w:pPr>
        <w:pStyle w:val="BodyText"/>
      </w:pPr>
      <w:hyperlink w:anchor="Xa39a3ee5e6b4b0d3255bfef95601890afd80709">
        <w:r>
          <w:rPr>
            <w:rStyle w:val="Hyperlink"/>
          </w:rPr>
          <w:t xml:space="preserve">Iran Tehran</w:t>
        </w:r>
      </w:hyperlink>
      <w:r>
        <w:t xml:space="preserve">,</w:t>
      </w:r>
    </w:p>
    <w:p>
      <w:pPr>
        <w:pStyle w:val="BodyText"/>
      </w:pPr>
      <w:r>
        <w:t xml:space="preserve">. impact the design industry significantly. Inflation and currency devaluation affect purchasing power for both clients and consumers. Local businesses, particularly small-to-medium enterprises (SMEs), may have limited budgets for high-end design services.</w:t>
      </w:r>
    </w:p>
    <w:p>
      <w:pPr>
        <w:pStyle w:val="BodyText"/>
      </w:pPr>
      <w:r>
        <w:t xml:space="preserve">However, this environment also creates opportunities for freelance designers who offer cost-effective solutions compared to international agencies. There is a growing demand for branding services as local companies strive to differentiate themselves in a crowded market. Additionally, the diaspora of Iranian artists and designers abroad has created a bridge for cross-cultural collaboration, bringing international exposure back into</w:t>
      </w:r>
    </w:p>
    <w:p>
      <w:pPr>
        <w:pStyle w:val="BodyText"/>
      </w:pPr>
      <w:hyperlink w:anchor="Xa39a3ee5e6b4b0d3255bfef95601890afd80709">
        <w:r>
          <w:rPr>
            <w:rStyle w:val="Hyperlink"/>
          </w:rPr>
          <w:t xml:space="preserve">Iran Tehran</w:t>
        </w:r>
      </w:hyperlink>
      <w:r>
        <w:t xml:space="preserve">.</w:t>
      </w:r>
    </w:p>
    <w:bookmarkEnd w:id="24"/>
    <w:bookmarkStart w:id="25" w:name="X45c3d88b382dcc2bb29cea5c5e7f8e6ac8f32b0"/>
    <w:p>
      <w:pPr>
        <w:pStyle w:val="Heading2"/>
      </w:pPr>
      <w:r>
        <w:t xml:space="preserve">6. Educational Landscape and Skill Development</w:t>
      </w:r>
    </w:p>
    <w:p>
      <w:pPr>
        <w:pStyle w:val="FirstParagraph"/>
      </w:pPr>
      <w:r>
        <w:t xml:space="preserve">The training of the next generation of</w:t>
      </w:r>
      <w:r>
        <w:t xml:space="preserve"> </w:t>
      </w:r>
      <w:hyperlink w:anchor="Xa39a3ee5e6b4b0d3255bfef95601890afd80709">
        <w:r>
          <w:rPr>
            <w:rStyle w:val="Hyperlink"/>
            <w:bCs/>
            <w:b/>
          </w:rPr>
          <w:t xml:space="preserve">Graphic Designer</w:t>
        </w:r>
      </w:hyperlink>
      <w:r>
        <w:t xml:space="preserve">, professionals in</w:t>
      </w:r>
    </w:p>
    <w:p>
      <w:pPr>
        <w:pStyle w:val="BodyText"/>
      </w:pPr>
      <w:hyperlink w:anchor="Xa39a3ee5e6b4b0d3255bfef95601890afd80709">
        <w:r>
          <w:rPr>
            <w:rStyle w:val="Hyperlink"/>
          </w:rPr>
          <w:t xml:space="preserve">Iran Tehran</w:t>
        </w:r>
      </w:hyperlink>
      <w:r>
        <w:t xml:space="preserve">,</w:t>
      </w:r>
    </w:p>
    <w:p>
      <w:pPr>
        <w:pStyle w:val="BodyText"/>
      </w:pPr>
      <w:r>
        <w:t xml:space="preserve">. occurs primarily through universities such as the University of Tehran, Sharif University of Technology, and Azad University. These institutions emphasize both technical skills (software proficiency) and theoretical foundations (art history, semiotics).</w:t>
      </w:r>
    </w:p>
    <w:p>
      <w:pPr>
        <w:pStyle w:val="BodyText"/>
      </w:pPr>
      <w:r>
        <w:t xml:space="preserve">Workshops and private training centers play a crucial supplementary role. Given the rapid pace of technological change, continuous learning is essential. Many young designers in Tehran engage in global online communities to stay abreast of trends, effectively bypassing geographical isolation.</w:t>
      </w:r>
    </w:p>
    <w:bookmarkEnd w:id="25"/>
    <w:bookmarkStart w:id="26" w:name="future-prospects"/>
    <w:p>
      <w:pPr>
        <w:pStyle w:val="Heading2"/>
      </w:pPr>
      <w:r>
        <w:t xml:space="preserve">7. Future Prospects</w:t>
      </w:r>
    </w:p>
    <w:p>
      <w:pPr>
        <w:pStyle w:val="FirstParagraph"/>
      </w:pPr>
      <w:r>
        <w:t xml:space="preserve">Looking ahead, the profession of</w:t>
      </w:r>
    </w:p>
    <w:p>
      <w:pPr>
        <w:pStyle w:val="BodyText"/>
      </w:pPr>
      <w:hyperlink w:anchor="Xa39a3ee5e6b4b0d3255bfef95601890afd80709">
        <w:r>
          <w:rPr>
            <w:rStyle w:val="Hyperlink"/>
          </w:rPr>
          <w:t xml:space="preserve">Graphic Designer</w:t>
        </w:r>
      </w:hyperlink>
      <w:r>
        <w:t xml:space="preserve">,</w:t>
      </w:r>
    </w:p>
    <w:p>
      <w:pPr>
        <w:pStyle w:val="BodyText"/>
      </w:pPr>
      <w:r>
        <w:t xml:space="preserve">. in</w:t>
      </w:r>
    </w:p>
    <w:p>
      <w:pPr>
        <w:pStyle w:val="BodyText"/>
      </w:pPr>
      <w:hyperlink w:anchor="Xa39a3ee5e6b4b0d3255bfef95601890afd80709">
        <w:r>
          <w:rPr>
            <w:rStyle w:val="Hyperlink"/>
          </w:rPr>
          <w:t xml:space="preserve">Iran Tehran</w:t>
        </w:r>
      </w:hyperlink>
      <w:r>
        <w:t xml:space="preserve">, is poised for further evolution with the advent of artificial intelligence and augmented reality. As these technologies become more accessible, designers will need to adapt their workflows accordingly.</w:t>
      </w:r>
    </w:p>
    <w:p>
      <w:pPr>
        <w:pStyle w:val="BodyText"/>
      </w:pPr>
      <w:r>
        <w:t xml:space="preserve">Moreover, as Iran seeks to reintegrate into the global economy through diplomatic channels, local design firms may gain greater access to international markets. This could lead to a hybrid style that resonates globally while remaining authentically Iranian. The</w:t>
      </w:r>
      <w:r>
        <w:t xml:space="preserve"> </w:t>
      </w:r>
      <w:hyperlink w:anchor="Xa39a3ee5e6b4b0d3255bfef95601890afd80709">
        <w:r>
          <w:rPr>
            <w:rStyle w:val="Hyperlink"/>
            <w:bCs/>
            <w:b/>
          </w:rPr>
          <w:t xml:space="preserve">Graphic Designer</w:t>
        </w:r>
      </w:hyperlink>
      <w:r>
        <w:t xml:space="preserve">, in Tehran will likely serve as an ambassador of Persian culture on the world stage.</w:t>
      </w:r>
    </w:p>
    <w:bookmarkEnd w:id="26"/>
    <w:bookmarkStart w:id="27" w:name="conclusion"/>
    <w:p>
      <w:pPr>
        <w:pStyle w:val="Heading2"/>
      </w:pPr>
      <w:r>
        <w:t xml:space="preserve">8. Conclusion</w:t>
      </w:r>
    </w:p>
    <w:p>
      <w:pPr>
        <w:pStyle w:val="FirstParagraph"/>
      </w:pPr>
      <w:r>
        <w:t xml:space="preserve">The</w:t>
      </w:r>
    </w:p>
    <w:p>
      <w:pPr>
        <w:pStyle w:val="BodyText"/>
      </w:pPr>
      <w:hyperlink w:anchor="Xa39a3ee5e6b4b0d3255bfef95601890afd80709">
        <w:r>
          <w:rPr>
            <w:rStyle w:val="Hyperlink"/>
          </w:rPr>
          <w:t xml:space="preserve">Graphic Designer</w:t>
        </w:r>
      </w:hyperlink>
      <w:r>
        <w:t xml:space="preserve">,</w:t>
      </w:r>
    </w:p>
    <w:p>
      <w:pPr>
        <w:pStyle w:val="BodyText"/>
      </w:pPr>
      <w:r>
        <w:t xml:space="preserve">. in</w:t>
      </w:r>
    </w:p>
    <w:p>
      <w:pPr>
        <w:pStyle w:val="BodyText"/>
      </w:pPr>
      <w:hyperlink w:anchor="Xa39a3ee5e6b4b0d3255bfef95601890afd80709">
        <w:r>
          <w:rPr>
            <w:rStyle w:val="Hyperlink"/>
          </w:rPr>
          <w:t xml:space="preserve">Iran Tehran</w:t>
        </w:r>
      </w:hyperlink>
      <w:r>
        <w:t xml:space="preserve">, operates at a fascinating intersection of tradition and modernity, constraint and creativity. They are not merely executing visual tasks but are actively participating in the cultural dialogue of the city. Their work reflects the resilience, beauty, and complexity of Iranian society.</w:t>
      </w:r>
    </w:p>
    <w:p>
      <w:pPr>
        <w:pStyle w:val="BodyText"/>
      </w:pPr>
      <w:r>
        <w:t xml:space="preserve">As globalization continues to influence local practices, it is imperative that stakeholders in Tehran recognize the value of investing in design education and infrastructure. By supporting creative industries,</w:t>
      </w:r>
    </w:p>
    <w:p>
      <w:pPr>
        <w:pStyle w:val="BodyText"/>
      </w:pPr>
      <w:hyperlink w:anchor="Xa39a3ee5e6b4b0d3255bfef95601890afd80709">
        <w:r>
          <w:rPr>
            <w:rStyle w:val="Hyperlink"/>
          </w:rPr>
          <w:t xml:space="preserve">Iran Tehran</w:t>
        </w:r>
      </w:hyperlink>
      <w:r>
        <w:t xml:space="preserve">, can harness its rich artistic heritage to foster economic growth and cultural exchange. The future of graphic design in this region depends on balancing respect for tradition with the courage to innovate.</w:t>
      </w:r>
    </w:p>
    <w:bookmarkEnd w:id="27"/>
    <w:bookmarkStart w:id="28" w:name="references"/>
    <w:p>
      <w:pPr>
        <w:pStyle w:val="Heading2"/>
      </w:pPr>
      <w:r>
        <w:t xml:space="preserve">References</w:t>
      </w:r>
    </w:p>
    <w:p>
      <w:pPr>
        <w:numPr>
          <w:ilvl w:val="0"/>
          <w:numId w:val="1001"/>
        </w:numPr>
        <w:pStyle w:val="Compact"/>
      </w:pPr>
      <w:r>
        <w:t xml:space="preserve">Kamalipour, Y. R., &amp; Snow, D. J. (2006).</w:t>
      </w:r>
      <w:r>
        <w:t xml:space="preserve"> </w:t>
      </w:r>
      <w:r>
        <w:rPr>
          <w:iCs/>
          <w:i/>
        </w:rPr>
        <w:t xml:space="preserve">The Media in Iran: Revolution and Counter-Revolution.</w:t>
      </w:r>
    </w:p>
    <w:p>
      <w:pPr>
        <w:numPr>
          <w:ilvl w:val="0"/>
          <w:numId w:val="1001"/>
        </w:numPr>
        <w:pStyle w:val="Compact"/>
      </w:pPr>
      <w:r>
        <w:t xml:space="preserve">Pournader, M., &amp; Ghorbani, M. (2018). Digital Art Trends in Contemporary Persian Society.</w:t>
      </w:r>
    </w:p>
    <w:p>
      <w:pPr>
        <w:numPr>
          <w:ilvl w:val="0"/>
          <w:numId w:val="1001"/>
        </w:numPr>
        <w:pStyle w:val="Compact"/>
      </w:pPr>
      <w:r>
        <w:t xml:space="preserve">Rashidi, N. (2020). Calligraphy and Modern Graphic Design in Tehran.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Iran, Tehran: A Research Analysis</dc:title>
  <dc:creator/>
  <dc:language>en</dc:language>
  <cp:keywords/>
  <dcterms:created xsi:type="dcterms:W3CDTF">2026-07-29T07:41:43Z</dcterms:created>
  <dcterms:modified xsi:type="dcterms:W3CDTF">2026-07-29T07:41:43Z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