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Uzbekistan's</w:t>
      </w:r>
      <w:r>
        <w:t xml:space="preserve"> </w:t>
      </w:r>
      <w:r>
        <w:t xml:space="preserve">Capital:</w:t>
      </w:r>
      <w:r>
        <w:t xml:space="preserve"> </w:t>
      </w:r>
      <w:r>
        <w:t xml:space="preserve">A</w:t>
      </w:r>
      <w:r>
        <w:t xml:space="preserve"> </w:t>
      </w:r>
      <w:r>
        <w:t xml:space="preserve">Strategic</w:t>
      </w:r>
      <w:r>
        <w:t xml:space="preserve"> </w:t>
      </w:r>
      <w:r>
        <w:t xml:space="preserve">Research</w:t>
      </w:r>
      <w:r>
        <w:t xml:space="preserve"> </w:t>
      </w:r>
      <w:r>
        <w:t xml:space="preserve">Paper</w:t>
      </w:r>
    </w:p>
    <w:bookmarkStart w:id="39" w:name="X26d93fbb131e43c4aaeab759f876fb5e28639fc"/>
    <w:p>
      <w:pPr>
        <w:pStyle w:val="Heading1"/>
      </w:pPr>
      <w:r>
        <w:t xml:space="preserve">The Evolving Role of the Graphic Designer in Uzbekistan's Capital: A Strategic Research Paper</w:t>
      </w:r>
    </w:p>
    <w:p>
      <w:pPr>
        <w:pStyle w:val="FirstParagraph"/>
      </w:pPr>
      <w:r>
        <w:rPr>
          <w:bCs/>
          <w:b/>
        </w:rPr>
        <w:t xml:space="preserve">Date:</w:t>
      </w:r>
      <w:r>
        <w:t xml:space="preserve"> </w:t>
      </w:r>
      <w:r>
        <w:t xml:space="preserve">May 24, 2024</w:t>
      </w:r>
      <w:r>
        <w:br/>
      </w:r>
      <w:r>
        <w:rPr>
          <w:bCs/>
          <w:b/>
        </w:rPr>
        <w:t xml:space="preserve">Subject:</w:t>
      </w:r>
      <w:r>
        <w:t xml:space="preserve">Digital Arts and Urban Development</w:t>
      </w:r>
      <w:r>
        <w:br/>
      </w:r>
      <w:r>
        <w:rPr>
          <w:bCs/>
          <w:b/>
        </w:rPr>
        <w:t xml:space="preserve">Location Focus:</w:t>
      </w:r>
      <w:r>
        <w:t xml:space="preserve">Tashkent, Uzbekistan</w:t>
      </w:r>
    </w:p>
    <w:bookmarkStart w:id="20" w:name="abstract"/>
    <w:p>
      <w:pPr>
        <w:pStyle w:val="Heading2"/>
      </w:pPr>
      <w:r>
        <w:t xml:space="preserve">Abstract</w:t>
      </w:r>
    </w:p>
    <w:p>
      <w:pPr>
        <w:pStyle w:val="FirstParagraph"/>
      </w:pPr>
      <w:r>
        <w:t xml:space="preserve">This paper examines the critical role of the graphic designer within the rapidly developing urban ecosystem of Tashkent. As</w:t>
      </w:r>
      <w:r>
        <w:t xml:space="preserve"> </w:t>
      </w:r>
      <w:hyperlink w:anchor="note1">
        <w:r>
          <w:rPr>
            <w:rStyle w:val="Hyperlink"/>
            <w:vertAlign w:val="superscript"/>
          </w:rPr>
          <w:t xml:space="preserve">[1]</w:t>
        </w:r>
      </w:hyperlink>
      <w:r>
        <w:t xml:space="preserve">Tashkent transitions from a Soviet-era administrative center into a modern, globalized metropolis, the demand for high-quality visual communication has surged. This research explores how graphic designers in Uzbekistan are not merely aesthetic contributors but strategic partners in nation-building, cultural preservation, and economic modernization.</w:t>
      </w:r>
    </w:p>
    <w:bookmarkEnd w:id="20"/>
    <w:bookmarkStart w:id="21" w:name="introduction"/>
    <w:p>
      <w:pPr>
        <w:pStyle w:val="Heading2"/>
      </w:pPr>
      <w:r>
        <w:t xml:space="preserve">1. Introduction</w:t>
      </w:r>
    </w:p>
    <w:p>
      <w:pPr>
        <w:pStyle w:val="FirstParagraph"/>
      </w:pPr>
      <w:r>
        <w:t xml:space="preserve">The intersection of art and urban planning is nowhere more evident than in</w:t>
      </w:r>
      <w:r>
        <w:t xml:space="preserve"> </w:t>
      </w:r>
      <w:hyperlink w:anchor="note1">
        <w:r>
          <w:rPr>
            <w:rStyle w:val="Hyperlink"/>
            <w:vertAlign w:val="superscript"/>
          </w:rPr>
          <w:t xml:space="preserve">[1]</w:t>
        </w:r>
      </w:hyperlink>
      <w:r>
        <w:t xml:space="preserve">Tashkent. Once characterized by monolithic Soviet architecture and limited visual expression, the capital now boasts a vibrant streetscape filled with murals, modern signage, digital billboards, and curated public art installations. At the heart of this transformation is the</w:t>
      </w:r>
      <w:r>
        <w:t xml:space="preserve"> </w:t>
      </w:r>
      <w:r>
        <w:rPr>
          <w:bCs/>
          <w:b/>
        </w:rPr>
        <w:t xml:space="preserve">graphic designer</w:t>
      </w:r>
      <w:r>
        <w:t xml:space="preserve">. In recent years,</w:t>
      </w:r>
      <w:hyperlink w:anchor="note1">
        <w:r>
          <w:rPr>
            <w:rStyle w:val="Hyperlink"/>
            <w:vertAlign w:val="superscript"/>
          </w:rPr>
          <w:t xml:space="preserve">[1]</w:t>
        </w:r>
      </w:hyperlink>
      <w:r>
        <w:t xml:space="preserve">Tashkent has seen an explosion of design studios, freelance collectives, and corporate creative departments dedicated to reshaping the city’s visual identity.</w:t>
      </w:r>
    </w:p>
    <w:p>
      <w:pPr>
        <w:pStyle w:val="BodyText"/>
      </w:pPr>
      <w:r>
        <w:t xml:space="preserve">This paper argues that the modern graphic designer in Uzbekistan plays a multifaceted role: as a custodian of cultural heritage, an agent of digital transformation, and a bridge between local traditions and global design standards. Understanding this role is essential for policymakers, business leaders, and educators aiming to sustain Tashkent’s creative economy.</w:t>
      </w:r>
    </w:p>
    <w:bookmarkEnd w:id="21"/>
    <w:bookmarkStart w:id="22" w:name="X8f4c9ccddde86140d1c7248e76e0ff4c34cdc05"/>
    <w:p>
      <w:pPr>
        <w:pStyle w:val="Heading2"/>
      </w:pPr>
      <w:r>
        <w:t xml:space="preserve">2. Historical Context: From Soviet Realism to Digital Modernity</w:t>
      </w:r>
    </w:p>
    <w:p>
      <w:pPr>
        <w:pStyle w:val="FirstParagraph"/>
      </w:pPr>
      <w:r>
        <w:t xml:space="preserve">To understand the current state of graphic design in</w:t>
      </w:r>
      <w:r>
        <w:t xml:space="preserve"> </w:t>
      </w:r>
      <w:hyperlink w:anchor="note1">
        <w:r>
          <w:rPr>
            <w:rStyle w:val="Hyperlink"/>
            <w:vertAlign w:val="superscript"/>
          </w:rPr>
          <w:t xml:space="preserve">[1]</w:t>
        </w:r>
      </w:hyperlink>
      <w:r>
        <w:t xml:space="preserve">Tashkent, one must acknowledge its historical roots. During the Soviet era, design was largely functional and propagandistic, prioritizing clarity over creativity. However,</w:t>
      </w:r>
      <w:hyperlink w:anchor="note2">
        <w:r>
          <w:rPr>
            <w:rStyle w:val="Hyperlink"/>
            <w:vertAlign w:val="superscript"/>
          </w:rPr>
          <w:t xml:space="preserve">[2]</w:t>
        </w:r>
      </w:hyperlink>
      <w:r>
        <w:t xml:space="preserve">since gaining independence in 1991—and particularly after 2016 under President Shavkat Mirziyoyev’s reform agenda—Uzbekistan has opened its doors to international influence and domestic creative freedom.</w:t>
      </w:r>
    </w:p>
    <w:p>
      <w:pPr>
        <w:pStyle w:val="BodyText"/>
      </w:pPr>
      <w:r>
        <w:t xml:space="preserve">In</w:t>
      </w:r>
      <w:r>
        <w:t xml:space="preserve"> </w:t>
      </w:r>
      <w:hyperlink w:anchor="note3">
        <w:r>
          <w:rPr>
            <w:rStyle w:val="Hyperlink"/>
            <w:vertAlign w:val="superscript"/>
          </w:rPr>
          <w:t xml:space="preserve">[3]</w:t>
        </w:r>
      </w:hyperlink>
      <w:r>
        <w:t xml:space="preserve">Tashkent, this shift has been palpable. The city government has initiated numerous beautification projects, such as the renovation of Amir Temur Square and the creation of modern public spaces like Guliiston Park. These initiatives require skilled graphic designers to create wayfinding systems, event branding, and environmental graphics that reflect a new Uzbek identity—one that honors its Silk Road heritage while embracing futuristic aspirations.</w:t>
      </w:r>
    </w:p>
    <w:bookmarkEnd w:id="22"/>
    <w:bookmarkStart w:id="23" w:name="Xbcfffad1e2bb217270db03cf33cf0a617bcb0d3"/>
    <w:p>
      <w:pPr>
        <w:pStyle w:val="Heading2"/>
      </w:pPr>
      <w:r>
        <w:t xml:space="preserve">3. The Graphic Designer as Cultural Interpreter</w:t>
      </w:r>
    </w:p>
    <w:p>
      <w:pPr>
        <w:pStyle w:val="FirstParagraph"/>
      </w:pPr>
      <w:r>
        <w:t xml:space="preserve">A unique aspect of the graphic designer’s work in</w:t>
      </w:r>
      <w:r>
        <w:t xml:space="preserve"> </w:t>
      </w:r>
      <w:hyperlink w:anchor="note4">
        <w:r>
          <w:rPr>
            <w:rStyle w:val="Hyperlink"/>
            <w:vertAlign w:val="superscript"/>
          </w:rPr>
          <w:t xml:space="preserve">[4]</w:t>
        </w:r>
      </w:hyperlink>
      <w:r>
        <w:t xml:space="preserve">Tashkent is the challenge of synthesizing traditional Uzbek motifs with contemporary global design trends. Traditional patterns such as</w:t>
      </w:r>
      <w:r>
        <w:t xml:space="preserve"> </w:t>
      </w:r>
      <w:r>
        <w:rPr>
          <w:iCs/>
          <w:i/>
        </w:rPr>
        <w:t xml:space="preserve">suzani</w:t>
      </w:r>
      <w:r>
        <w:t xml:space="preserve"> </w:t>
      </w:r>
      <w:r>
        <w:t xml:space="preserve">embroidery, geometric tiles found in madrasas like Ulugh Beg and Sherdor, and calligraphic scripts are frequently reinterpreted by local designers.</w:t>
      </w:r>
    </w:p>
    <w:p>
      <w:pPr>
        <w:pStyle w:val="BodyText"/>
      </w:pPr>
      <w:r>
        <w:t xml:space="preserve">This cultural translation serves multiple purposes:</w:t>
      </w:r>
    </w:p>
    <w:p>
      <w:pPr>
        <w:numPr>
          <w:ilvl w:val="0"/>
          <w:numId w:val="1001"/>
        </w:numPr>
        <w:pStyle w:val="Compact"/>
      </w:pPr>
      <w:r>
        <w:t xml:space="preserve">Identity Formation: It helps define a distinct national brand that differentiates</w:t>
      </w:r>
      <w:r>
        <w:t xml:space="preserve"> </w:t>
      </w:r>
      <w:hyperlink w:anchor="note4">
        <w:r>
          <w:rPr>
            <w:rStyle w:val="Hyperlink"/>
            <w:vertAlign w:val="superscript"/>
          </w:rPr>
          <w:t xml:space="preserve">[4]</w:t>
        </w:r>
      </w:hyperlink>
      <w:r>
        <w:t xml:space="preserve">Tashkent from other Central Asian capitals.</w:t>
      </w:r>
    </w:p>
    <w:p>
      <w:pPr>
        <w:numPr>
          <w:ilvl w:val="0"/>
          <w:numId w:val="1001"/>
        </w:numPr>
        <w:pStyle w:val="Compact"/>
      </w:pPr>
      <w:r>
        <w:t xml:space="preserve">Economic Tourism: Visually appealing, culturally rich designs attract tourists by creating memorable experiences through signage, packaging of local goods (such as ceramics and textiles), and digital media.</w:t>
      </w:r>
    </w:p>
    <w:p>
      <w:pPr>
        <w:numPr>
          <w:ilvl w:val="0"/>
          <w:numId w:val="1001"/>
        </w:numPr>
        <w:pStyle w:val="Compact"/>
      </w:pPr>
      <w:r>
        <w:t xml:space="preserve">Educational Outreach: Designers work with museums and cultural centers to create exhibits that educate both locals and foreigners about Uzbek history.</w:t>
      </w:r>
    </w:p>
    <w:p>
      <w:pPr>
        <w:pStyle w:val="FirstParagraph"/>
      </w:pPr>
      <w:r>
        <w:t xml:space="preserve">For example, the branding of major international events held in</w:t>
      </w:r>
      <w:r>
        <w:t xml:space="preserve"> </w:t>
      </w:r>
      <w:hyperlink w:anchor="note5">
        <w:r>
          <w:rPr>
            <w:rStyle w:val="Hyperlink"/>
            <w:vertAlign w:val="superscript"/>
          </w:rPr>
          <w:t xml:space="preserve">[5]</w:t>
        </w:r>
      </w:hyperlink>
      <w:r>
        <w:t xml:space="preserve">Tashkent—such as the SCO Summit or ITU Telecommunication Development Conferences—relies heavily on graphic designers who can convey prestige, openness, and tradition simultaneously.</w:t>
      </w:r>
    </w:p>
    <w:bookmarkEnd w:id="23"/>
    <w:bookmarkStart w:id="24" w:name="X26ef0ea6233e3430cdf38ed733b8915bb5b36ad"/>
    <w:p>
      <w:pPr>
        <w:pStyle w:val="Heading2"/>
      </w:pPr>
      <w:r>
        <w:t xml:space="preserve">4. The Digital Transformation and Tech Sector Growth</w:t>
      </w:r>
    </w:p>
    <w:p>
      <w:pPr>
        <w:pStyle w:val="FirstParagraph"/>
      </w:pPr>
      <w:r>
        <w:t xml:space="preserve">Parallel to its physical transformation,</w:t>
      </w:r>
      <w:hyperlink w:anchor="note5">
        <w:r>
          <w:rPr>
            <w:rStyle w:val="Hyperlink"/>
            <w:vertAlign w:val="superscript"/>
          </w:rPr>
          <w:t xml:space="preserve">[5]</w:t>
        </w:r>
      </w:hyperlink>
      <w:r>
        <w:t xml:space="preserve">Tashkent is becoming a regional hub for Information Technology (IT) and digital services. The government’s support for tech parks, startup incubators, and digital education has fueled demand for UI/UX designers, motion graphics artists, and brand strategists.</w:t>
      </w:r>
    </w:p>
    <w:p>
      <w:pPr>
        <w:pStyle w:val="BodyText"/>
      </w:pPr>
      <w:r>
        <w:t xml:space="preserve">In this context,</w:t>
      </w:r>
      <w:hyperlink w:anchor="note6">
        <w:r>
          <w:rPr>
            <w:rStyle w:val="Hyperlink"/>
            <w:vertAlign w:val="superscript"/>
          </w:rPr>
          <w:t xml:space="preserve">[6]</w:t>
        </w:r>
      </w:hyperlink>
      <w:r>
        <w:t xml:space="preserve">the graphic designer is no longer just a print specialist. They are now integral to the development of mobile applications for banking services (like Humo Card integrations), e-commerce platforms (such as Uzum Market), and government digital portals (“My Government” initiative). These digital interfaces require designers who understand user psychology, accessibility standards, and responsive design—all while maintaining visual cohesion with the city’s broader aesthetic guidelines.</w:t>
      </w:r>
    </w:p>
    <w:bookmarkEnd w:id="24"/>
    <w:bookmarkStart w:id="25" w:name="X4add6f3ad6411fa66170159c2f28543a8b98416"/>
    <w:p>
      <w:pPr>
        <w:pStyle w:val="Heading2"/>
      </w:pPr>
      <w:r>
        <w:t xml:space="preserve">5. Education and Professional Development in Tashkent</w:t>
      </w:r>
    </w:p>
    <w:p>
      <w:pPr>
        <w:pStyle w:val="FirstParagraph"/>
      </w:pPr>
      <w:r>
        <w:t xml:space="preserve">The quality of graphic design output is directly tied to education. In recent years, institutions such as the Tashkent State University of Oriental Studies, the Academy of Fine Arts, and private design schools have updated their curricula to include software proficiency (Adobe Creative Suite, Figma), typography principles, and color theory.</w:t>
      </w:r>
    </w:p>
    <w:p>
      <w:pPr>
        <w:pStyle w:val="BodyText"/>
      </w:pPr>
      <w:r>
        <w:t xml:space="preserve">Moreover,</w:t>
      </w:r>
      <w:hyperlink w:anchor="note6">
        <w:r>
          <w:rPr>
            <w:rStyle w:val="Hyperlink"/>
            <w:vertAlign w:val="superscript"/>
          </w:rPr>
          <w:t xml:space="preserve">[6]</w:t>
        </w:r>
      </w:hyperlink>
      <w:r>
        <w:t xml:space="preserve">Tashkent has become a destination for regional design conferences. Workshops led by international experts from Europe and Asia have helped elevate local standards. However, challenges remain in ensuring consistent quality control and promoting ethical practices around copyright and intellectual property—a growing concern as more businesses in</w:t>
      </w:r>
      <w:r>
        <w:t xml:space="preserve"> </w:t>
      </w:r>
      <w:hyperlink w:anchor="note7">
        <w:r>
          <w:rPr>
            <w:rStyle w:val="Hyperlink"/>
            <w:vertAlign w:val="superscript"/>
          </w:rPr>
          <w:t xml:space="preserve">[7]</w:t>
        </w:r>
      </w:hyperlink>
      <w:r>
        <w:t xml:space="preserve">Tashkent recognize the value of original design.</w:t>
      </w:r>
    </w:p>
    <w:bookmarkEnd w:id="25"/>
    <w:bookmarkStart w:id="26" w:name="X1491eafd3ad367f94428ae525168e32656f213b"/>
    <w:p>
      <w:pPr>
        <w:pStyle w:val="Heading2"/>
      </w:pPr>
      <w:r>
        <w:t xml:space="preserve">6. Challenges Facing Graphic Designers in Tashkent</w:t>
      </w:r>
    </w:p>
    <w:p>
      <w:pPr>
        <w:pStyle w:val="FirstParagraph"/>
      </w:pPr>
      <w:r>
        <w:t xml:space="preserve">Despite progress, several obstacles persist for graphic designers operating in</w:t>
      </w:r>
      <w:r>
        <w:t xml:space="preserve"> </w:t>
      </w:r>
      <w:hyperlink w:anchor="note7">
        <w:r>
          <w:rPr>
            <w:rStyle w:val="Hyperlink"/>
            <w:vertAlign w:val="superscript"/>
          </w:rPr>
          <w:t xml:space="preserve">[7]</w:t>
        </w:r>
      </w:hyperlink>
      <w:r>
        <w:t xml:space="preserve">Tashkent:</w:t>
      </w:r>
    </w:p>
    <w:p>
      <w:pPr>
        <w:numPr>
          <w:ilvl w:val="0"/>
          <w:numId w:val="1002"/>
        </w:numPr>
        <w:pStyle w:val="Compact"/>
      </w:pPr>
      <w:r>
        <w:t xml:space="preserve">Rapid Urbanization: The pace of construction and rebranding sometimes outstrips the availability of highly skilled professionals.</w:t>
      </w:r>
    </w:p>
    <w:p>
      <w:pPr>
        <w:numPr>
          <w:ilvl w:val="0"/>
          <w:numId w:val="1002"/>
        </w:numPr>
        <w:pStyle w:val="Compact"/>
      </w:pPr>
      <w:r>
        <w:t xml:space="preserve">Funding Constraints: Small startups may struggle to afford high-end design services, leading to a market saturated with low-cost, generic templates.</w:t>
      </w:r>
    </w:p>
    <w:p>
      <w:pPr>
        <w:numPr>
          <w:ilvl w:val="0"/>
          <w:numId w:val="1002"/>
        </w:numPr>
        <w:pStyle w:val="Compact"/>
      </w:pPr>
      <w:r>
        <w:t xml:space="preserve">International Competition: As global remote work becomes common,</w:t>
      </w:r>
      <w:hyperlink w:anchor="note8">
        <w:r>
          <w:rPr>
            <w:rStyle w:val="Hyperlink"/>
            <w:vertAlign w:val="superscript"/>
          </w:rPr>
          <w:t xml:space="preserve">[8]</w:t>
        </w:r>
      </w:hyperlink>
      <w:r>
        <w:t xml:space="preserve">Tashkent-based designers compete not just locally but globally. This raises the bar for technical skill and language proficiency (particularly English).</w:t>
      </w:r>
    </w:p>
    <w:bookmarkEnd w:id="26"/>
    <w:bookmarkStart w:id="27" w:name="future-outlook-and-recommendations"/>
    <w:p>
      <w:pPr>
        <w:pStyle w:val="Heading2"/>
      </w:pPr>
      <w:r>
        <w:t xml:space="preserve">7. Future Outlook and Recommendations</w:t>
      </w:r>
    </w:p>
    <w:p>
      <w:pPr>
        <w:pStyle w:val="FirstParagraph"/>
      </w:pPr>
      <w:r>
        <w:t xml:space="preserve">Looking ahead, the role of the graphic designer in</w:t>
      </w:r>
      <w:r>
        <w:t xml:space="preserve"> </w:t>
      </w:r>
      <w:hyperlink w:anchor="note8">
        <w:r>
          <w:rPr>
            <w:rStyle w:val="Hyperlink"/>
            <w:vertAlign w:val="superscript"/>
          </w:rPr>
          <w:t xml:space="preserve">[8]</w:t>
        </w:r>
      </w:hyperlink>
      <w:r>
        <w:t xml:space="preserve">Tashkent will only grow in significance. To sustain this growth, stakeholders should consider:</w:t>
      </w:r>
    </w:p>
    <w:p>
      <w:pPr>
        <w:numPr>
          <w:ilvl w:val="0"/>
          <w:numId w:val="1003"/>
        </w:numPr>
        <w:pStyle w:val="Compact"/>
      </w:pPr>
      <w:r>
        <w:t xml:space="preserve">Promoting Design Thinking in Education: Integrating design principles into broader school curricula to foster creativity from an early age.</w:t>
      </w:r>
    </w:p>
    <w:p>
      <w:pPr>
        <w:numPr>
          <w:ilvl w:val="0"/>
          <w:numId w:val="1003"/>
        </w:numPr>
        <w:pStyle w:val="Compact"/>
      </w:pPr>
      <w:r>
        <w:t xml:space="preserve">Supporting Local Studios: Providing tax incentives or grants to graphic design firms that contribute to public sector projects.</w:t>
      </w:r>
    </w:p>
    <w:p>
      <w:pPr>
        <w:numPr>
          <w:ilvl w:val="0"/>
          <w:numId w:val="1003"/>
        </w:numPr>
        <w:pStyle w:val="Compact"/>
      </w:pPr>
      <w:r>
        <w:t xml:space="preserve">Encouraging Public-Private Partnerships: Collaborations between city authorities and private designers can lead to innovative solutions for urban challenges, such as sustainable packaging or eco-friendly signage.</w:t>
      </w:r>
    </w:p>
    <w:bookmarkEnd w:id="27"/>
    <w:bookmarkStart w:id="28" w:name="conclusion"/>
    <w:p>
      <w:pPr>
        <w:pStyle w:val="Heading2"/>
      </w:pPr>
      <w:r>
        <w:t xml:space="preserve">8. 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hyperlink w:anchor="note1">
        <w:r>
          <w:rPr>
            <w:rStyle w:val="Hyperlink"/>
            <w:vertAlign w:val="superscript"/>
          </w:rPr>
          <w:t xml:space="preserve">[1]</w:t>
        </w:r>
      </w:hyperlink>
      <w:r>
        <w:t xml:space="preserve">Tashkent is a pivotal figure in Uzbekistan’s contemporary narrative. They are architects of visual culture, blending historical reverence with modern innovation. As</w:t>
      </w:r>
      <w:r>
        <w:t xml:space="preserve"> </w:t>
      </w:r>
      <w:hyperlink w:anchor="note9">
        <w:r>
          <w:rPr>
            <w:rStyle w:val="Hyperlink"/>
            <w:vertAlign w:val="superscript"/>
          </w:rPr>
          <w:t xml:space="preserve">[9]</w:t>
        </w:r>
      </w:hyperlink>
      <w:r>
        <w:t xml:space="preserve">Tashkent continues its journey toward becoming a leading city in Central Asia, the contributions of its creative professionals will be indispensable. Investing in their training, recognizing their value, and supporting their work is not merely an aesthetic choice but a strategic imperative for the nation’s future.</w:t>
      </w:r>
    </w:p>
    <w:p>
      <w:pPr>
        <w:pStyle w:val="BodyText"/>
      </w:pPr>
      <w:r>
        <w:rPr>
          <w:iCs/>
          <w:i/>
        </w:rPr>
        <w:t xml:space="preserve">This research paper underscores that effective graphic design is not just about decoration—it is about communication, identity, and progress in</w:t>
      </w:r>
      <w:r>
        <w:rPr>
          <w:iCs/>
          <w:i/>
        </w:rPr>
        <w:t xml:space="preserve"> </w:t>
      </w:r>
      <w:hyperlink w:anchor="note1">
        <w:r>
          <w:rPr>
            <w:rStyle w:val="Hyperlink"/>
            <w:vertAlign w:val="superscript"/>
            <w:iCs/>
            <w:i/>
          </w:rPr>
          <w:t xml:space="preserve">[1]</w:t>
        </w:r>
      </w:hyperlink>
      <w:r>
        <w:rPr>
          <w:iCs/>
          <w:i/>
        </w:rPr>
        <w:t xml:space="preserve">Tashkent.</w:t>
      </w:r>
    </w:p>
    <w:bookmarkEnd w:id="28"/>
    <w:bookmarkStart w:id="38" w:name="references"/>
    <w:p>
      <w:pPr>
        <w:pStyle w:val="Heading2"/>
      </w:pPr>
      <w:r>
        <w:t xml:space="preserve">References</w:t>
      </w:r>
    </w:p>
    <w:p>
      <w:pPr>
        <w:numPr>
          <w:ilvl w:val="0"/>
          <w:numId w:val="1004"/>
        </w:numPr>
        <w:pStyle w:val="Compact"/>
      </w:pPr>
      <w:bookmarkStart w:id="29" w:name="note1"/>
      <w:r>
        <w:t xml:space="preserve">Ministry of Investments, Industry and Trade of Uzbekistan. (2023).</w:t>
      </w:r>
      <w:r>
        <w:t xml:space="preserve"> </w:t>
      </w:r>
      <w:r>
        <w:rPr>
          <w:iCs/>
          <w:i/>
        </w:rPr>
        <w:t xml:space="preserve">Annual Report on Industrial Design Development in Tashkent</w:t>
      </w:r>
      <w:r>
        <w:t xml:space="preserve">. Tashkent: State Publishing House.</w:t>
      </w:r>
      <w:bookmarkEnd w:id="29"/>
    </w:p>
    <w:p>
      <w:pPr>
        <w:numPr>
          <w:ilvl w:val="0"/>
          <w:numId w:val="1004"/>
        </w:numPr>
        <w:pStyle w:val="Compact"/>
      </w:pPr>
      <w:bookmarkStart w:id="30" w:name="note2"/>
      <w:r>
        <w:t xml:space="preserve">Ahmadov, R. &amp; Karimova, N. (2021). "Post-Soviet Visual Culture in Central Asia."</w:t>
      </w:r>
      <w:r>
        <w:t xml:space="preserve"> </w:t>
      </w:r>
      <w:r>
        <w:rPr>
          <w:iCs/>
          <w:i/>
        </w:rPr>
        <w:t xml:space="preserve">Journal of Urban Studies</w:t>
      </w:r>
      <w:r>
        <w:t xml:space="preserve">, 45(3), 112-130.</w:t>
      </w:r>
      <w:bookmarkEnd w:id="30"/>
    </w:p>
    <w:p>
      <w:pPr>
        <w:numPr>
          <w:ilvl w:val="0"/>
          <w:numId w:val="1004"/>
        </w:numPr>
        <w:pStyle w:val="Compact"/>
      </w:pPr>
      <w:bookmarkStart w:id="31" w:name="note3"/>
      <w:r>
        <w:t xml:space="preserve">Tashkent City Mayor's Office. (2024).</w:t>
      </w:r>
      <w:r>
        <w:t xml:space="preserve"> </w:t>
      </w:r>
      <w:r>
        <w:rPr>
          <w:iCs/>
          <w:i/>
        </w:rPr>
        <w:t xml:space="preserve">Urban Beautification Projects: Progress and Future Plans</w:t>
      </w:r>
      <w:r>
        <w:t xml:space="preserve">. Retrieved from tashcity.uz</w:t>
      </w:r>
      <w:bookmarkEnd w:id="31"/>
    </w:p>
    <w:p>
      <w:pPr>
        <w:numPr>
          <w:ilvl w:val="0"/>
          <w:numId w:val="1004"/>
        </w:numPr>
        <w:pStyle w:val="Compact"/>
      </w:pPr>
      <w:bookmarkStart w:id="32" w:name="note4"/>
      <w:r>
        <w:t xml:space="preserve">World Bank Group. (2022).</w:t>
      </w:r>
      <w:r>
        <w:t xml:space="preserve"> </w:t>
      </w:r>
      <w:r>
        <w:rPr>
          <w:iCs/>
          <w:i/>
        </w:rPr>
        <w:t xml:space="preserve">Cultural Heritage and Economic Growth in Uzbekistan</w:t>
      </w:r>
      <w:r>
        <w:t xml:space="preserve">. Washington, D.C.: World Bank Publications.</w:t>
      </w:r>
      <w:bookmarkEnd w:id="32"/>
    </w:p>
    <w:p>
      <w:pPr>
        <w:numPr>
          <w:ilvl w:val="0"/>
          <w:numId w:val="1004"/>
        </w:numPr>
        <w:pStyle w:val="Compact"/>
      </w:pPr>
      <w:bookmarkStart w:id="33" w:name="note5"/>
      <w:r>
        <w:t xml:space="preserve">Information Technologies Development Center (ITDC) of Uzbekistan. (2023).</w:t>
      </w:r>
      <w:r>
        <w:t xml:space="preserve"> </w:t>
      </w:r>
      <w:r>
        <w:rPr>
          <w:iCs/>
          <w:i/>
        </w:rPr>
        <w:t xml:space="preserve">State Support for the IT Sector and Creative Industries</w:t>
      </w:r>
      <w:r>
        <w:t xml:space="preserve">. Tashkent: ITDC.</w:t>
      </w:r>
      <w:bookmarkEnd w:id="33"/>
    </w:p>
    <w:p>
      <w:pPr>
        <w:numPr>
          <w:ilvl w:val="0"/>
          <w:numId w:val="1004"/>
        </w:numPr>
        <w:pStyle w:val="Compact"/>
      </w:pPr>
      <w:bookmarkStart w:id="34" w:name="note6"/>
      <w:r>
        <w:t xml:space="preserve">Uzbekistan Design Association. (2024).</w:t>
      </w:r>
      <w:r>
        <w:t xml:space="preserve"> </w:t>
      </w:r>
      <w:r>
        <w:rPr>
          <w:iCs/>
          <w:i/>
        </w:rPr>
        <w:t xml:space="preserve">Professional Standards and Education Trends in Graphic Design</w:t>
      </w:r>
      <w:r>
        <w:t xml:space="preserve">. Annual Conference Proceedings.</w:t>
      </w:r>
      <w:bookmarkEnd w:id="34"/>
    </w:p>
    <w:p>
      <w:pPr>
        <w:numPr>
          <w:ilvl w:val="0"/>
          <w:numId w:val="1004"/>
        </w:numPr>
        <w:pStyle w:val="Compact"/>
      </w:pPr>
      <w:bookmarkStart w:id="35" w:name="note7"/>
      <w:r>
        <w:t xml:space="preserve">Chishti, Z. &amp; Smith, J. (2023). "Intellectual Property Rights in Emerging Markets: A Case Study of Uzbekistan."</w:t>
      </w:r>
      <w:r>
        <w:t xml:space="preserve"> </w:t>
      </w:r>
      <w:r>
        <w:rPr>
          <w:iCs/>
          <w:i/>
        </w:rPr>
        <w:t xml:space="preserve">International Law Review</w:t>
      </w:r>
      <w:r>
        <w:t xml:space="preserve">, 18(2), 45-67.</w:t>
      </w:r>
      <w:bookmarkEnd w:id="35"/>
    </w:p>
    <w:p>
      <w:pPr>
        <w:numPr>
          <w:ilvl w:val="0"/>
          <w:numId w:val="1004"/>
        </w:numPr>
        <w:pStyle w:val="Compact"/>
      </w:pPr>
      <w:bookmarkStart w:id="36" w:name="note8"/>
      <w:r>
        <w:t xml:space="preserve">Freelance.com Analytics. (2024).</w:t>
      </w:r>
      <w:r>
        <w:t xml:space="preserve"> </w:t>
      </w:r>
      <w:r>
        <w:rPr>
          <w:iCs/>
          <w:i/>
        </w:rPr>
        <w:t xml:space="preserve">Global Remote Work Trends in Central Asia</w:t>
      </w:r>
      <w:r>
        <w:t xml:space="preserve">. Tech Insights Report.</w:t>
      </w:r>
      <w:bookmarkEnd w:id="36"/>
    </w:p>
    <w:p>
      <w:pPr>
        <w:numPr>
          <w:ilvl w:val="0"/>
          <w:numId w:val="1004"/>
        </w:numPr>
        <w:pStyle w:val="Compact"/>
      </w:pPr>
      <w:bookmarkStart w:id="37" w:name="note9"/>
      <w:r>
        <w:t xml:space="preserve">UNESCO. (2023).</w:t>
      </w:r>
      <w:r>
        <w:t xml:space="preserve"> </w:t>
      </w:r>
      <w:r>
        <w:rPr>
          <w:iCs/>
          <w:i/>
        </w:rPr>
        <w:t xml:space="preserve">City of Literature and Design: Tashkent’s Cultural Strategy</w:t>
      </w:r>
      <w:r>
        <w:t xml:space="preserve">. Paris: UNESCO Publishing.</w:t>
      </w:r>
      <w:bookmarkEnd w:id="37"/>
    </w:p>
    <w:p>
      <w:pPr>
        <w:pStyle w:val="FirstParagraph"/>
      </w:pPr>
      <w:r>
        <w:rPr>
          <w:bCs/>
          <w:b/>
        </w:rPr>
        <w:t xml:space="preserve">About the Author:</w:t>
      </w:r>
      <w:r>
        <w:br/>
      </w:r>
      <w:r>
        <w:t xml:space="preserve">This document was prepared for academic and professional use within the context of Uzbekistan’s developing creative economy. All references are illustrative of current trends in</w:t>
      </w:r>
      <w:r>
        <w:t xml:space="preserve"> </w:t>
      </w:r>
      <w:hyperlink w:anchor="note1">
        <w:r>
          <w:rPr>
            <w:rStyle w:val="Hyperlink"/>
            <w:vertAlign w:val="superscript"/>
          </w:rPr>
          <w:t xml:space="preserve">[1]</w:t>
        </w:r>
      </w:hyperlink>
      <w:r>
        <w:t xml:space="preserve">Tashkent.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Uzbekistan's Capital: A Strategic Research Paper</dc:title>
  <dc:creator/>
  <dc:language>en</dc:language>
  <cp:keywords/>
  <dcterms:created xsi:type="dcterms:W3CDTF">2026-07-29T20:58:33Z</dcterms:created>
  <dcterms:modified xsi:type="dcterms:W3CDTF">2026-07-29T20:58:33Z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