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Socio-Economic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Hairdressers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Perspective</w:t>
      </w:r>
    </w:p>
    <w:bookmarkStart w:id="20" w:name="Xdf541f949f145391060a391b0b2da542de7f6c1"/>
    <w:p>
      <w:pPr>
        <w:pStyle w:val="Heading1"/>
      </w:pPr>
      <w:r>
        <w:t xml:space="preserve">The Evolution and Socio-Economic Impact of Hairdressers in Thailand Bangkok</w:t>
      </w:r>
    </w:p>
    <w:p>
      <w:pPr>
        <w:pStyle w:val="FirstParagraph"/>
      </w:pPr>
      <w:r>
        <w:br/>
      </w:r>
      <w:r>
        <w:br/>
      </w:r>
      <w:r>
        <w:br/>
      </w:r>
      <w:r>
        <w:rPr>
          <w:bCs/>
          <w:b/>
        </w:rPr>
        <w:t xml:space="preserve">Analyzed through the lens of modern aesthetics, global beauty standards, and local cultural adaptation.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Socio-Economic Impact of Hairdressers in Thailand Bangkok: A Research Perspective</dc:title>
  <dc:creator/>
  <dc:language>en</dc:language>
  <cp:keywords/>
  <dcterms:created xsi:type="dcterms:W3CDTF">2026-09-28T11:07:05Z</dcterms:created>
  <dcterms:modified xsi:type="dcterms:W3CDTF">2026-09-28T11:07:05Z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